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b/>
          <w:bCs/>
          <w:color w:val="auto"/>
          <w:sz w:val="32"/>
          <w:szCs w:val="32"/>
        </w:rPr>
      </w:pPr>
      <w:r>
        <w:rPr>
          <w:b/>
          <w:bCs/>
          <w:color w:val="auto"/>
          <w:sz w:val="32"/>
          <w:szCs w:val="32"/>
        </w:rPr>
        <w:t>附件</w:t>
      </w:r>
      <w:r>
        <w:rPr>
          <w:rFonts w:hint="eastAsia"/>
          <w:b/>
          <w:bCs/>
          <w:color w:val="auto"/>
          <w:sz w:val="32"/>
          <w:szCs w:val="32"/>
        </w:rPr>
        <w:t>5</w:t>
      </w:r>
    </w:p>
    <w:p>
      <w:pPr>
        <w:jc w:val="center"/>
        <w:rPr>
          <w:rFonts w:hint="eastAsia" w:eastAsia="楷体_GB2312"/>
          <w:b/>
          <w:bCs/>
          <w:sz w:val="36"/>
          <w:szCs w:val="36"/>
        </w:rPr>
      </w:pPr>
      <w:r>
        <w:rPr>
          <w:rFonts w:hint="eastAsia" w:eastAsia="楷体_GB2312"/>
          <w:b/>
          <w:sz w:val="36"/>
        </w:rPr>
        <w:t>20</w:t>
      </w:r>
      <w:r>
        <w:rPr>
          <w:rFonts w:hint="eastAsia" w:eastAsia="楷体_GB2312"/>
          <w:b/>
          <w:sz w:val="36"/>
          <w:lang w:val="en-US" w:eastAsia="zh-CN"/>
        </w:rPr>
        <w:t>23</w:t>
      </w:r>
      <w:r>
        <w:rPr>
          <w:rFonts w:hint="eastAsia" w:eastAsia="楷体_GB2312"/>
          <w:b/>
          <w:sz w:val="36"/>
        </w:rPr>
        <w:t>年塑料维卡软化温度能力验证</w:t>
      </w:r>
      <w:r>
        <w:rPr>
          <w:rFonts w:hint="eastAsia" w:eastAsia="楷体_GB2312"/>
          <w:b/>
          <w:bCs/>
          <w:sz w:val="36"/>
          <w:szCs w:val="36"/>
        </w:rPr>
        <w:t>作业指导书</w:t>
      </w:r>
    </w:p>
    <w:p>
      <w:pPr>
        <w:spacing w:line="560" w:lineRule="exact"/>
        <w:ind w:firstLine="560" w:firstLineChars="200"/>
        <w:rPr>
          <w:rFonts w:hint="eastAsia" w:eastAsia="楷体_GB2312"/>
          <w:color w:val="000000"/>
          <w:sz w:val="28"/>
          <w:szCs w:val="28"/>
        </w:rPr>
      </w:pPr>
      <w:r>
        <w:rPr>
          <w:rFonts w:hint="eastAsia" w:eastAsia="楷体_GB2312"/>
          <w:color w:val="000000"/>
          <w:sz w:val="28"/>
          <w:szCs w:val="28"/>
        </w:rPr>
        <w:t>为保证本次能力验证工作的顺利进行和客观准确评价本次验证工作所获得的检验结果，请仔细阅读以下内容并遵照执行。</w:t>
      </w:r>
    </w:p>
    <w:p>
      <w:pPr>
        <w:spacing w:line="560" w:lineRule="exact"/>
        <w:ind w:firstLine="560" w:firstLineChars="200"/>
        <w:rPr>
          <w:rFonts w:hint="eastAsia" w:eastAsia="楷体_GB2312"/>
          <w:color w:val="000000"/>
          <w:sz w:val="28"/>
          <w:szCs w:val="28"/>
        </w:rPr>
      </w:pPr>
      <w:r>
        <w:rPr>
          <w:rFonts w:hint="eastAsia" w:eastAsia="楷体_GB2312"/>
          <w:color w:val="000000"/>
          <w:sz w:val="28"/>
          <w:szCs w:val="28"/>
        </w:rPr>
        <w:t>您</w:t>
      </w:r>
      <w:r>
        <w:rPr>
          <w:rFonts w:hint="eastAsia" w:eastAsia="楷体_GB2312"/>
          <w:color w:val="000000"/>
          <w:sz w:val="28"/>
          <w:szCs w:val="28"/>
          <w:lang w:val="en-US" w:eastAsia="zh-CN"/>
        </w:rPr>
        <w:t>本次</w:t>
      </w:r>
      <w:r>
        <w:rPr>
          <w:rFonts w:hint="eastAsia" w:eastAsia="楷体_GB2312"/>
          <w:color w:val="000000"/>
          <w:sz w:val="28"/>
          <w:szCs w:val="28"/>
        </w:rPr>
        <w:t>实验室的代码</w:t>
      </w:r>
      <w:r>
        <w:rPr>
          <w:rFonts w:hint="eastAsia" w:eastAsia="楷体_GB2312"/>
          <w:color w:val="000000"/>
          <w:sz w:val="28"/>
          <w:szCs w:val="28"/>
          <w:lang w:val="en-US" w:eastAsia="zh-CN"/>
        </w:rPr>
        <w:t>在</w:t>
      </w:r>
      <w:r>
        <w:rPr>
          <w:rFonts w:hint="eastAsia" w:eastAsia="楷体_GB2312"/>
          <w:b/>
          <w:bCs/>
          <w:color w:val="000000"/>
          <w:sz w:val="28"/>
          <w:szCs w:val="28"/>
          <w:lang w:val="en-US" w:eastAsia="zh-CN"/>
        </w:rPr>
        <w:t>样品标签</w:t>
      </w:r>
      <w:r>
        <w:rPr>
          <w:rFonts w:hint="eastAsia" w:eastAsia="楷体_GB2312"/>
          <w:color w:val="000000"/>
          <w:sz w:val="28"/>
          <w:szCs w:val="28"/>
          <w:lang w:val="en-US" w:eastAsia="zh-CN"/>
        </w:rPr>
        <w:t>上标注，</w:t>
      </w:r>
      <w:r>
        <w:rPr>
          <w:rFonts w:hint="eastAsia" w:eastAsia="楷体_GB2312"/>
          <w:color w:val="000000"/>
          <w:sz w:val="28"/>
          <w:szCs w:val="28"/>
        </w:rPr>
        <w:t>在以后的联系和结果报告等所有文件中均使用该代码。您单位参加此次能力验证试验的考核样品为</w:t>
      </w:r>
      <w:r>
        <w:rPr>
          <w:rFonts w:hint="eastAsia" w:eastAsia="楷体_GB2312"/>
          <w:color w:val="000000"/>
          <w:sz w:val="28"/>
          <w:szCs w:val="28"/>
          <w:lang w:val="en-US" w:eastAsia="zh-CN"/>
        </w:rPr>
        <w:t>一</w:t>
      </w:r>
      <w:bookmarkStart w:id="0" w:name="_GoBack"/>
      <w:bookmarkEnd w:id="0"/>
      <w:r>
        <w:rPr>
          <w:rFonts w:hint="eastAsia" w:eastAsia="楷体_GB2312"/>
          <w:color w:val="000000"/>
          <w:sz w:val="28"/>
          <w:szCs w:val="28"/>
        </w:rPr>
        <w:t>组。用于测试的样品已通过均匀性、稳定性试验和其它有关验证，能够满足本次能力验证的要求。</w:t>
      </w:r>
    </w:p>
    <w:p>
      <w:pPr>
        <w:numPr>
          <w:ilvl w:val="0"/>
          <w:numId w:val="1"/>
        </w:numPr>
        <w:spacing w:line="560" w:lineRule="exact"/>
        <w:rPr>
          <w:rFonts w:hint="eastAsia" w:eastAsia="楷体_GB2312"/>
          <w:b/>
          <w:color w:val="000000"/>
          <w:sz w:val="28"/>
          <w:szCs w:val="28"/>
        </w:rPr>
      </w:pPr>
      <w:r>
        <w:rPr>
          <w:rFonts w:hint="eastAsia" w:eastAsia="楷体_GB2312"/>
          <w:b/>
          <w:color w:val="000000"/>
          <w:sz w:val="28"/>
          <w:szCs w:val="28"/>
        </w:rPr>
        <w:t>样品接收时的注意事项</w:t>
      </w:r>
    </w:p>
    <w:p>
      <w:pPr>
        <w:spacing w:line="560" w:lineRule="exact"/>
        <w:ind w:firstLine="560" w:firstLineChars="200"/>
        <w:rPr>
          <w:rFonts w:hint="eastAsia" w:eastAsia="楷体_GB2312"/>
          <w:color w:val="000000"/>
          <w:sz w:val="28"/>
          <w:szCs w:val="28"/>
        </w:rPr>
      </w:pPr>
      <w:r>
        <w:rPr>
          <w:rFonts w:hint="eastAsia" w:eastAsia="楷体_GB2312"/>
          <w:color w:val="000000"/>
          <w:sz w:val="28"/>
          <w:szCs w:val="28"/>
        </w:rPr>
        <w:t>本次能力验证计划为每个实验室提供一组样品，样品为</w:t>
      </w:r>
      <w:r>
        <w:rPr>
          <w:rFonts w:hint="eastAsia" w:eastAsia="楷体_GB2312"/>
          <w:color w:val="000000"/>
          <w:sz w:val="28"/>
          <w:szCs w:val="28"/>
          <w:lang w:val="en-US" w:eastAsia="zh-CN"/>
        </w:rPr>
        <w:t>塑料片材</w:t>
      </w:r>
      <w:r>
        <w:rPr>
          <w:rFonts w:hint="eastAsia" w:eastAsia="楷体_GB2312"/>
          <w:color w:val="000000"/>
          <w:sz w:val="28"/>
          <w:szCs w:val="28"/>
        </w:rPr>
        <w:t>,采用塑料袋密封包装，每袋中装有2片，每片尺寸为：10mm×10mm，每袋为一组。</w:t>
      </w:r>
    </w:p>
    <w:p>
      <w:pPr>
        <w:jc w:val="left"/>
        <w:rPr>
          <w:rFonts w:hint="eastAsia" w:eastAsia="楷体_GB2312"/>
          <w:color w:val="000000"/>
          <w:sz w:val="28"/>
          <w:szCs w:val="28"/>
        </w:rPr>
      </w:pPr>
      <w:r>
        <w:rPr>
          <w:rFonts w:hint="eastAsia" w:eastAsia="楷体_GB2312"/>
          <w:color w:val="000000"/>
          <w:sz w:val="28"/>
          <w:szCs w:val="28"/>
        </w:rPr>
        <w:t xml:space="preserve">    各实验室在收到样品时，应首先对样品是否完好进行确认，同时填写《202</w:t>
      </w:r>
      <w:r>
        <w:rPr>
          <w:rFonts w:hint="eastAsia" w:eastAsia="楷体_GB2312"/>
          <w:color w:val="000000"/>
          <w:sz w:val="28"/>
          <w:szCs w:val="28"/>
          <w:lang w:val="en-US" w:eastAsia="zh-CN"/>
        </w:rPr>
        <w:t>3</w:t>
      </w:r>
      <w:r>
        <w:rPr>
          <w:rFonts w:hint="eastAsia" w:eastAsia="楷体_GB2312"/>
          <w:color w:val="000000"/>
          <w:sz w:val="28"/>
          <w:szCs w:val="28"/>
        </w:rPr>
        <w:t>年</w:t>
      </w:r>
      <w:r>
        <w:rPr>
          <w:rFonts w:hint="eastAsia" w:eastAsia="楷体_GB2312"/>
          <w:color w:val="000000"/>
          <w:sz w:val="28"/>
          <w:szCs w:val="28"/>
          <w:lang w:val="en-US" w:eastAsia="zh-CN"/>
        </w:rPr>
        <w:t>塑料</w:t>
      </w:r>
      <w:r>
        <w:rPr>
          <w:rFonts w:hint="eastAsia" w:eastAsia="楷体_GB2312"/>
          <w:color w:val="000000"/>
          <w:sz w:val="28"/>
          <w:szCs w:val="28"/>
        </w:rPr>
        <w:t>建材领域检验能力验证收到样品确认函》</w:t>
      </w:r>
      <w:r>
        <w:rPr>
          <w:rFonts w:hint="eastAsia" w:eastAsia="楷体_GB2312"/>
          <w:color w:val="000000"/>
          <w:sz w:val="28"/>
          <w:szCs w:val="28"/>
          <w:lang w:eastAsia="zh-CN"/>
        </w:rPr>
        <w:t>，</w:t>
      </w:r>
      <w:r>
        <w:rPr>
          <w:rFonts w:hint="eastAsia" w:eastAsia="楷体_GB2312"/>
          <w:color w:val="000000"/>
          <w:sz w:val="28"/>
          <w:szCs w:val="28"/>
        </w:rPr>
        <w:t>如有破损或其他情况，请立即联系</w:t>
      </w:r>
      <w:r>
        <w:rPr>
          <w:rFonts w:hint="eastAsia" w:eastAsia="楷体_GB2312"/>
          <w:color w:val="000000"/>
          <w:sz w:val="28"/>
          <w:szCs w:val="28"/>
          <w:lang w:val="en-US" w:eastAsia="zh-CN"/>
        </w:rPr>
        <w:t>山东</w:t>
      </w:r>
      <w:r>
        <w:rPr>
          <w:rFonts w:hint="eastAsia" w:eastAsia="楷体_GB2312"/>
          <w:color w:val="000000"/>
          <w:sz w:val="28"/>
          <w:szCs w:val="28"/>
        </w:rPr>
        <w:t>省质检院，描述意外情况，我院核实后再作处理。</w:t>
      </w:r>
    </w:p>
    <w:p>
      <w:pPr>
        <w:spacing w:line="560" w:lineRule="exact"/>
        <w:rPr>
          <w:rFonts w:eastAsia="楷体_GB2312"/>
          <w:b/>
          <w:color w:val="000000"/>
          <w:sz w:val="28"/>
          <w:szCs w:val="28"/>
        </w:rPr>
      </w:pPr>
      <w:r>
        <w:rPr>
          <w:rFonts w:hint="eastAsia" w:eastAsia="楷体_GB2312"/>
          <w:b/>
          <w:color w:val="000000"/>
          <w:sz w:val="28"/>
          <w:szCs w:val="28"/>
        </w:rPr>
        <w:t>二、引用标准</w:t>
      </w:r>
    </w:p>
    <w:p>
      <w:pPr>
        <w:spacing w:line="560" w:lineRule="exact"/>
        <w:ind w:firstLine="560" w:firstLineChars="200"/>
        <w:rPr>
          <w:rFonts w:hint="eastAsia" w:eastAsia="楷体_GB2312"/>
          <w:color w:val="000000"/>
          <w:sz w:val="28"/>
          <w:szCs w:val="28"/>
        </w:rPr>
      </w:pPr>
      <w:r>
        <w:rPr>
          <w:rFonts w:hint="eastAsia" w:eastAsia="楷体_GB2312"/>
          <w:sz w:val="28"/>
        </w:rPr>
        <w:t>本次能力验证要求实验室依据GB/T</w:t>
      </w:r>
      <w:r>
        <w:rPr>
          <w:rFonts w:hint="eastAsia" w:eastAsia="楷体_GB2312"/>
          <w:sz w:val="28"/>
          <w:lang w:val="en-US" w:eastAsia="zh-CN"/>
        </w:rPr>
        <w:t xml:space="preserve"> </w:t>
      </w:r>
      <w:r>
        <w:rPr>
          <w:rFonts w:hint="eastAsia" w:eastAsia="楷体_GB2312"/>
          <w:sz w:val="28"/>
        </w:rPr>
        <w:t>8802-2001《热塑性塑料管材、管件维卡软化温度的测定》或GB/T</w:t>
      </w:r>
      <w:r>
        <w:rPr>
          <w:rFonts w:hint="eastAsia" w:eastAsia="楷体_GB2312"/>
          <w:sz w:val="28"/>
          <w:lang w:val="en-US" w:eastAsia="zh-CN"/>
        </w:rPr>
        <w:t xml:space="preserve"> </w:t>
      </w:r>
      <w:r>
        <w:rPr>
          <w:rFonts w:hint="eastAsia" w:eastAsia="楷体_GB2312"/>
          <w:sz w:val="28"/>
        </w:rPr>
        <w:t>1633-2000《热塑性塑料维卡软化温度（VST）的测定》</w:t>
      </w:r>
    </w:p>
    <w:p>
      <w:pPr>
        <w:spacing w:line="560" w:lineRule="exact"/>
        <w:rPr>
          <w:rFonts w:hint="eastAsia" w:eastAsia="楷体_GB2312"/>
          <w:b/>
          <w:color w:val="000000"/>
          <w:sz w:val="28"/>
          <w:szCs w:val="28"/>
        </w:rPr>
      </w:pPr>
      <w:r>
        <w:rPr>
          <w:rFonts w:hint="eastAsia" w:eastAsia="楷体_GB2312"/>
          <w:b/>
          <w:color w:val="000000"/>
          <w:sz w:val="28"/>
          <w:szCs w:val="28"/>
        </w:rPr>
        <w:t>三、测试操作程序</w:t>
      </w:r>
    </w:p>
    <w:p>
      <w:pPr>
        <w:spacing w:line="560" w:lineRule="exact"/>
        <w:ind w:firstLine="560" w:firstLineChars="200"/>
        <w:rPr>
          <w:rFonts w:hint="eastAsia" w:eastAsia="楷体_GB2312"/>
          <w:sz w:val="28"/>
        </w:rPr>
      </w:pPr>
      <w:r>
        <w:rPr>
          <w:rFonts w:hint="eastAsia" w:eastAsia="楷体_GB2312"/>
          <w:sz w:val="28"/>
        </w:rPr>
        <w:t>本次能力验证采用上述两种方法标准的相关内容进行试验，为使检测结果具有可比性，</w:t>
      </w:r>
      <w:r>
        <w:rPr>
          <w:rFonts w:hint="eastAsia" w:eastAsia="楷体_GB2312"/>
          <w:sz w:val="28"/>
          <w:lang w:val="en-US" w:eastAsia="zh-CN"/>
        </w:rPr>
        <w:t>要求</w:t>
      </w:r>
      <w:r>
        <w:rPr>
          <w:rFonts w:hint="eastAsia" w:eastAsia="楷体_GB2312"/>
          <w:sz w:val="28"/>
        </w:rPr>
        <w:t>按下列试验条件进行试验。</w:t>
      </w:r>
    </w:p>
    <w:p>
      <w:pPr>
        <w:spacing w:line="560" w:lineRule="exact"/>
        <w:ind w:firstLine="560" w:firstLineChars="200"/>
        <w:rPr>
          <w:rFonts w:hint="eastAsia" w:eastAsia="楷体_GB2312"/>
          <w:sz w:val="28"/>
        </w:rPr>
      </w:pPr>
      <w:r>
        <w:rPr>
          <w:rFonts w:hint="eastAsia" w:eastAsia="楷体_GB2312"/>
          <w:sz w:val="28"/>
        </w:rPr>
        <w:t>表1 检测条件</w:t>
      </w:r>
    </w:p>
    <w:tbl>
      <w:tblPr>
        <w:tblStyle w:val="6"/>
        <w:tblW w:w="9043" w:type="dxa"/>
        <w:tblInd w:w="-3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2"/>
        <w:gridCol w:w="1526"/>
        <w:gridCol w:w="1596"/>
        <w:gridCol w:w="1784"/>
        <w:gridCol w:w="1615"/>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24" w:type="dxa"/>
            <w:gridSpan w:val="3"/>
            <w:noWrap w:val="0"/>
            <w:vAlign w:val="center"/>
          </w:tcPr>
          <w:p>
            <w:pPr>
              <w:spacing w:line="560" w:lineRule="exact"/>
              <w:ind w:firstLine="360" w:firstLineChars="150"/>
              <w:jc w:val="center"/>
              <w:rPr>
                <w:rFonts w:hint="eastAsia" w:eastAsia="楷体_GB2312"/>
                <w:color w:val="000000"/>
                <w:sz w:val="24"/>
              </w:rPr>
            </w:pPr>
            <w:r>
              <w:rPr>
                <w:rFonts w:hint="eastAsia" w:eastAsia="楷体_GB2312"/>
                <w:color w:val="000000"/>
                <w:sz w:val="24"/>
              </w:rPr>
              <w:t>试验前的试样调节</w:t>
            </w:r>
          </w:p>
        </w:tc>
        <w:tc>
          <w:tcPr>
            <w:tcW w:w="1784" w:type="dxa"/>
            <w:noWrap w:val="0"/>
            <w:vAlign w:val="center"/>
          </w:tcPr>
          <w:p>
            <w:pPr>
              <w:spacing w:line="560" w:lineRule="exact"/>
              <w:jc w:val="center"/>
              <w:rPr>
                <w:rFonts w:hint="eastAsia" w:eastAsia="楷体_GB2312"/>
                <w:color w:val="000000"/>
                <w:sz w:val="24"/>
              </w:rPr>
            </w:pPr>
            <w:r>
              <w:rPr>
                <w:rFonts w:hint="eastAsia" w:eastAsia="楷体_GB2312"/>
                <w:color w:val="000000"/>
                <w:sz w:val="24"/>
              </w:rPr>
              <w:t>试验起始温度（℃）</w:t>
            </w:r>
          </w:p>
        </w:tc>
        <w:tc>
          <w:tcPr>
            <w:tcW w:w="1615" w:type="dxa"/>
            <w:noWrap w:val="0"/>
            <w:vAlign w:val="center"/>
          </w:tcPr>
          <w:p>
            <w:pPr>
              <w:spacing w:line="560" w:lineRule="exact"/>
              <w:jc w:val="center"/>
              <w:rPr>
                <w:rFonts w:hint="eastAsia" w:eastAsia="楷体_GB2312"/>
                <w:color w:val="000000"/>
                <w:sz w:val="24"/>
              </w:rPr>
            </w:pPr>
            <w:r>
              <w:rPr>
                <w:rFonts w:hint="eastAsia" w:eastAsia="楷体_GB2312"/>
                <w:color w:val="000000"/>
                <w:sz w:val="24"/>
              </w:rPr>
              <w:t>作用在试样上压力（N）</w:t>
            </w:r>
          </w:p>
        </w:tc>
        <w:tc>
          <w:tcPr>
            <w:tcW w:w="1220" w:type="dxa"/>
            <w:noWrap w:val="0"/>
            <w:vAlign w:val="center"/>
          </w:tcPr>
          <w:p>
            <w:pPr>
              <w:spacing w:line="560" w:lineRule="exact"/>
              <w:jc w:val="center"/>
              <w:rPr>
                <w:rFonts w:hint="eastAsia" w:eastAsia="楷体_GB2312"/>
                <w:color w:val="000000"/>
                <w:sz w:val="24"/>
              </w:rPr>
            </w:pPr>
            <w:r>
              <w:rPr>
                <w:rFonts w:hint="eastAsia" w:eastAsia="楷体_GB2312"/>
                <w:color w:val="000000"/>
                <w:sz w:val="24"/>
              </w:rPr>
              <w:t>升温速率（℃/h）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2" w:type="dxa"/>
            <w:noWrap w:val="0"/>
            <w:vAlign w:val="center"/>
          </w:tcPr>
          <w:p>
            <w:pPr>
              <w:spacing w:line="560" w:lineRule="exact"/>
              <w:jc w:val="center"/>
              <w:rPr>
                <w:rFonts w:hint="eastAsia" w:eastAsia="楷体_GB2312"/>
                <w:color w:val="000000"/>
                <w:sz w:val="24"/>
              </w:rPr>
            </w:pPr>
            <w:r>
              <w:rPr>
                <w:rFonts w:hint="eastAsia" w:eastAsia="楷体_GB2312"/>
                <w:color w:val="000000"/>
                <w:sz w:val="24"/>
              </w:rPr>
              <w:t>温度（℃）</w:t>
            </w:r>
          </w:p>
        </w:tc>
        <w:tc>
          <w:tcPr>
            <w:tcW w:w="1526" w:type="dxa"/>
            <w:noWrap w:val="0"/>
            <w:vAlign w:val="center"/>
          </w:tcPr>
          <w:p>
            <w:pPr>
              <w:spacing w:line="560" w:lineRule="exact"/>
              <w:jc w:val="center"/>
              <w:rPr>
                <w:rFonts w:hint="eastAsia" w:eastAsia="楷体_GB2312"/>
                <w:color w:val="000000"/>
                <w:sz w:val="24"/>
              </w:rPr>
            </w:pPr>
            <w:r>
              <w:rPr>
                <w:rFonts w:hint="eastAsia" w:eastAsia="楷体_GB2312"/>
                <w:color w:val="000000"/>
                <w:sz w:val="24"/>
              </w:rPr>
              <w:t>湿度（%RH）</w:t>
            </w:r>
          </w:p>
        </w:tc>
        <w:tc>
          <w:tcPr>
            <w:tcW w:w="1596" w:type="dxa"/>
            <w:noWrap w:val="0"/>
            <w:vAlign w:val="center"/>
          </w:tcPr>
          <w:p>
            <w:pPr>
              <w:spacing w:line="560" w:lineRule="exact"/>
              <w:jc w:val="center"/>
              <w:rPr>
                <w:rFonts w:hint="eastAsia" w:eastAsia="楷体_GB2312"/>
                <w:color w:val="000000"/>
                <w:sz w:val="24"/>
              </w:rPr>
            </w:pPr>
            <w:r>
              <w:rPr>
                <w:rFonts w:hint="eastAsia" w:eastAsia="楷体_GB2312"/>
                <w:color w:val="000000"/>
                <w:sz w:val="24"/>
              </w:rPr>
              <w:t>调节时间（h）</w:t>
            </w:r>
          </w:p>
        </w:tc>
        <w:tc>
          <w:tcPr>
            <w:tcW w:w="1784" w:type="dxa"/>
            <w:vMerge w:val="restart"/>
            <w:noWrap w:val="0"/>
            <w:vAlign w:val="center"/>
          </w:tcPr>
          <w:p>
            <w:pPr>
              <w:spacing w:line="560" w:lineRule="exact"/>
              <w:jc w:val="center"/>
              <w:rPr>
                <w:rFonts w:hint="eastAsia" w:eastAsia="楷体_GB2312"/>
                <w:color w:val="000000"/>
                <w:sz w:val="24"/>
              </w:rPr>
            </w:pPr>
            <w:r>
              <w:rPr>
                <w:rFonts w:hint="eastAsia" w:eastAsia="楷体_GB2312"/>
                <w:color w:val="000000"/>
                <w:sz w:val="24"/>
              </w:rPr>
              <w:t>23±2</w:t>
            </w:r>
          </w:p>
        </w:tc>
        <w:tc>
          <w:tcPr>
            <w:tcW w:w="1615" w:type="dxa"/>
            <w:vMerge w:val="restart"/>
            <w:noWrap w:val="0"/>
            <w:vAlign w:val="center"/>
          </w:tcPr>
          <w:p>
            <w:pPr>
              <w:spacing w:line="560" w:lineRule="exact"/>
              <w:jc w:val="center"/>
              <w:rPr>
                <w:rFonts w:hint="eastAsia" w:eastAsia="楷体_GB2312"/>
                <w:color w:val="000000"/>
                <w:sz w:val="24"/>
              </w:rPr>
            </w:pPr>
            <w:r>
              <w:rPr>
                <w:rFonts w:hint="eastAsia" w:eastAsia="楷体_GB2312"/>
                <w:color w:val="000000"/>
                <w:sz w:val="24"/>
              </w:rPr>
              <w:t>50±1</w:t>
            </w:r>
          </w:p>
        </w:tc>
        <w:tc>
          <w:tcPr>
            <w:tcW w:w="1220" w:type="dxa"/>
            <w:vMerge w:val="restart"/>
            <w:noWrap w:val="0"/>
            <w:vAlign w:val="center"/>
          </w:tcPr>
          <w:p>
            <w:pPr>
              <w:spacing w:line="560" w:lineRule="exact"/>
              <w:jc w:val="center"/>
              <w:rPr>
                <w:rFonts w:hint="eastAsia" w:eastAsia="楷体_GB2312"/>
                <w:color w:val="000000"/>
                <w:sz w:val="24"/>
              </w:rPr>
            </w:pPr>
            <w:r>
              <w:rPr>
                <w:rFonts w:hint="eastAsia" w:eastAsia="楷体_GB2312"/>
                <w:color w:val="00000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02" w:type="dxa"/>
            <w:noWrap w:val="0"/>
            <w:vAlign w:val="center"/>
          </w:tcPr>
          <w:p>
            <w:pPr>
              <w:spacing w:line="560" w:lineRule="exact"/>
              <w:jc w:val="center"/>
              <w:rPr>
                <w:rFonts w:hint="eastAsia" w:eastAsia="楷体_GB2312"/>
                <w:color w:val="000000"/>
                <w:sz w:val="24"/>
              </w:rPr>
            </w:pPr>
            <w:r>
              <w:rPr>
                <w:rFonts w:hint="eastAsia" w:eastAsia="楷体_GB2312"/>
                <w:color w:val="000000"/>
                <w:sz w:val="24"/>
              </w:rPr>
              <w:t>23±2</w:t>
            </w:r>
          </w:p>
        </w:tc>
        <w:tc>
          <w:tcPr>
            <w:tcW w:w="1526" w:type="dxa"/>
            <w:noWrap w:val="0"/>
            <w:vAlign w:val="center"/>
          </w:tcPr>
          <w:p>
            <w:pPr>
              <w:spacing w:line="560" w:lineRule="exact"/>
              <w:jc w:val="center"/>
              <w:rPr>
                <w:rFonts w:hint="eastAsia" w:eastAsia="楷体_GB2312"/>
                <w:color w:val="000000"/>
                <w:sz w:val="24"/>
              </w:rPr>
            </w:pPr>
            <w:r>
              <w:rPr>
                <w:rFonts w:hint="eastAsia" w:eastAsia="楷体_GB2312"/>
                <w:color w:val="000000"/>
                <w:sz w:val="24"/>
              </w:rPr>
              <w:t>50±5</w:t>
            </w:r>
          </w:p>
        </w:tc>
        <w:tc>
          <w:tcPr>
            <w:tcW w:w="1596" w:type="dxa"/>
            <w:noWrap w:val="0"/>
            <w:vAlign w:val="center"/>
          </w:tcPr>
          <w:p>
            <w:pPr>
              <w:spacing w:line="560" w:lineRule="exact"/>
              <w:jc w:val="center"/>
              <w:rPr>
                <w:rFonts w:hint="default" w:eastAsia="楷体_GB2312"/>
                <w:color w:val="000000"/>
                <w:sz w:val="24"/>
                <w:lang w:val="en-US" w:eastAsia="zh-CN"/>
              </w:rPr>
            </w:pPr>
            <w:r>
              <w:rPr>
                <w:rFonts w:hint="eastAsia" w:eastAsia="楷体_GB2312"/>
                <w:color w:val="000000"/>
                <w:sz w:val="24"/>
                <w:lang w:val="en-US" w:eastAsia="zh-CN"/>
              </w:rPr>
              <w:t>24</w:t>
            </w:r>
          </w:p>
        </w:tc>
        <w:tc>
          <w:tcPr>
            <w:tcW w:w="1784" w:type="dxa"/>
            <w:vMerge w:val="continue"/>
            <w:noWrap w:val="0"/>
            <w:vAlign w:val="center"/>
          </w:tcPr>
          <w:p>
            <w:pPr>
              <w:spacing w:line="560" w:lineRule="exact"/>
              <w:jc w:val="center"/>
              <w:rPr>
                <w:rFonts w:hint="eastAsia" w:eastAsia="楷体_GB2312"/>
                <w:color w:val="000000"/>
                <w:sz w:val="28"/>
                <w:szCs w:val="28"/>
              </w:rPr>
            </w:pPr>
          </w:p>
        </w:tc>
        <w:tc>
          <w:tcPr>
            <w:tcW w:w="1615" w:type="dxa"/>
            <w:vMerge w:val="continue"/>
            <w:noWrap w:val="0"/>
            <w:vAlign w:val="center"/>
          </w:tcPr>
          <w:p>
            <w:pPr>
              <w:spacing w:line="560" w:lineRule="exact"/>
              <w:jc w:val="center"/>
              <w:rPr>
                <w:rFonts w:hint="eastAsia" w:eastAsia="楷体_GB2312"/>
                <w:color w:val="000000"/>
                <w:sz w:val="28"/>
                <w:szCs w:val="28"/>
              </w:rPr>
            </w:pPr>
          </w:p>
        </w:tc>
        <w:tc>
          <w:tcPr>
            <w:tcW w:w="1220" w:type="dxa"/>
            <w:vMerge w:val="continue"/>
            <w:noWrap w:val="0"/>
            <w:vAlign w:val="center"/>
          </w:tcPr>
          <w:p>
            <w:pPr>
              <w:spacing w:line="560" w:lineRule="exact"/>
              <w:jc w:val="center"/>
              <w:rPr>
                <w:rFonts w:hint="eastAsia" w:eastAsia="楷体_GB2312"/>
                <w:color w:val="000000"/>
                <w:sz w:val="28"/>
                <w:szCs w:val="28"/>
              </w:rPr>
            </w:pPr>
          </w:p>
        </w:tc>
      </w:tr>
    </w:tbl>
    <w:p>
      <w:pPr>
        <w:spacing w:line="560" w:lineRule="exact"/>
        <w:ind w:firstLine="280" w:firstLineChars="100"/>
        <w:rPr>
          <w:rFonts w:hint="eastAsia" w:eastAsia="楷体_GB2312"/>
          <w:color w:val="000000"/>
          <w:sz w:val="28"/>
          <w:szCs w:val="28"/>
        </w:rPr>
      </w:pPr>
      <w:r>
        <w:rPr>
          <w:rFonts w:hint="eastAsia" w:eastAsia="楷体_GB2312"/>
          <w:color w:val="000000"/>
          <w:sz w:val="28"/>
          <w:szCs w:val="28"/>
        </w:rPr>
        <w:t>本次能力验证计划要求实验室按照标准要求的测定程序测定两个样品维卡软化温度，提供单次检测结果和平均值。</w:t>
      </w:r>
    </w:p>
    <w:p>
      <w:pPr>
        <w:spacing w:line="560" w:lineRule="exact"/>
        <w:ind w:firstLine="560" w:firstLineChars="200"/>
        <w:rPr>
          <w:rFonts w:hint="eastAsia" w:eastAsia="楷体_GB2312"/>
          <w:color w:val="000000"/>
          <w:sz w:val="28"/>
          <w:szCs w:val="28"/>
        </w:rPr>
      </w:pPr>
      <w:r>
        <w:rPr>
          <w:rFonts w:hint="eastAsia" w:eastAsia="楷体_GB2312"/>
          <w:color w:val="000000"/>
          <w:sz w:val="28"/>
          <w:szCs w:val="28"/>
        </w:rPr>
        <w:t>检测结果等相关信息填写在《202</w:t>
      </w:r>
      <w:r>
        <w:rPr>
          <w:rFonts w:hint="eastAsia" w:eastAsia="楷体_GB2312"/>
          <w:color w:val="000000"/>
          <w:sz w:val="28"/>
          <w:szCs w:val="28"/>
          <w:lang w:val="en-US" w:eastAsia="zh-CN"/>
        </w:rPr>
        <w:t>3</w:t>
      </w:r>
      <w:r>
        <w:rPr>
          <w:rFonts w:hint="eastAsia" w:eastAsia="楷体_GB2312"/>
          <w:color w:val="000000"/>
          <w:sz w:val="28"/>
          <w:szCs w:val="28"/>
        </w:rPr>
        <w:t>年</w:t>
      </w:r>
      <w:r>
        <w:rPr>
          <w:rFonts w:hint="eastAsia" w:eastAsia="楷体_GB2312"/>
          <w:color w:val="000000"/>
          <w:sz w:val="28"/>
          <w:szCs w:val="28"/>
          <w:lang w:val="en-US" w:eastAsia="zh-CN"/>
        </w:rPr>
        <w:t>塑料</w:t>
      </w:r>
      <w:r>
        <w:rPr>
          <w:rFonts w:hint="eastAsia" w:eastAsia="楷体_GB2312"/>
          <w:color w:val="000000"/>
          <w:sz w:val="28"/>
          <w:szCs w:val="28"/>
        </w:rPr>
        <w:t>建材领域检验能力验证结果报告单》中，检测结果保留到小数点后第1位。</w:t>
      </w:r>
    </w:p>
    <w:p>
      <w:pPr>
        <w:spacing w:line="560" w:lineRule="exact"/>
        <w:rPr>
          <w:rFonts w:hint="eastAsia" w:eastAsia="楷体_GB2312"/>
          <w:b/>
          <w:color w:val="000000"/>
          <w:sz w:val="28"/>
          <w:szCs w:val="28"/>
        </w:rPr>
      </w:pPr>
      <w:r>
        <w:rPr>
          <w:rFonts w:hint="eastAsia" w:eastAsia="楷体_GB2312"/>
          <w:b/>
          <w:color w:val="000000"/>
          <w:sz w:val="28"/>
          <w:szCs w:val="28"/>
        </w:rPr>
        <w:t>四、结果反馈</w:t>
      </w:r>
    </w:p>
    <w:p>
      <w:pPr>
        <w:spacing w:line="560" w:lineRule="exact"/>
        <w:ind w:firstLine="560" w:firstLineChars="200"/>
        <w:rPr>
          <w:rFonts w:hint="eastAsia" w:eastAsia="楷体_GB2312"/>
          <w:sz w:val="28"/>
        </w:rPr>
      </w:pPr>
      <w:r>
        <w:rPr>
          <w:rFonts w:hint="eastAsia" w:eastAsia="楷体_GB2312"/>
          <w:sz w:val="28"/>
        </w:rPr>
        <w:t>请各实验室严格按要求填写《</w:t>
      </w:r>
      <w:r>
        <w:rPr>
          <w:rFonts w:hint="eastAsia" w:eastAsia="楷体_GB2312"/>
          <w:color w:val="000000"/>
          <w:sz w:val="28"/>
          <w:szCs w:val="28"/>
        </w:rPr>
        <w:t>202</w:t>
      </w:r>
      <w:r>
        <w:rPr>
          <w:rFonts w:hint="eastAsia" w:eastAsia="楷体_GB2312"/>
          <w:color w:val="000000"/>
          <w:sz w:val="28"/>
          <w:szCs w:val="28"/>
          <w:lang w:val="en-US" w:eastAsia="zh-CN"/>
        </w:rPr>
        <w:t>3</w:t>
      </w:r>
      <w:r>
        <w:rPr>
          <w:rFonts w:hint="eastAsia" w:eastAsia="楷体_GB2312"/>
          <w:color w:val="000000"/>
          <w:sz w:val="28"/>
          <w:szCs w:val="28"/>
        </w:rPr>
        <w:t>年</w:t>
      </w:r>
      <w:r>
        <w:rPr>
          <w:rFonts w:hint="eastAsia" w:eastAsia="楷体_GB2312"/>
          <w:color w:val="000000"/>
          <w:sz w:val="28"/>
          <w:szCs w:val="28"/>
          <w:lang w:val="en-US" w:eastAsia="zh-CN"/>
        </w:rPr>
        <w:t>塑料</w:t>
      </w:r>
      <w:r>
        <w:rPr>
          <w:rFonts w:hint="eastAsia" w:eastAsia="楷体_GB2312"/>
          <w:color w:val="000000"/>
          <w:sz w:val="28"/>
          <w:szCs w:val="28"/>
        </w:rPr>
        <w:t>建材领域检验能力验证结果报告单</w:t>
      </w:r>
      <w:r>
        <w:rPr>
          <w:rFonts w:hint="eastAsia" w:eastAsia="楷体_GB2312"/>
          <w:sz w:val="28"/>
        </w:rPr>
        <w:t>》（附件</w:t>
      </w:r>
      <w:r>
        <w:rPr>
          <w:rFonts w:hint="eastAsia" w:eastAsia="楷体_GB2312"/>
          <w:sz w:val="28"/>
          <w:lang w:val="en-US" w:eastAsia="zh-CN"/>
        </w:rPr>
        <w:t>6</w:t>
      </w:r>
      <w:r>
        <w:rPr>
          <w:rFonts w:hint="eastAsia" w:eastAsia="楷体_GB2312"/>
          <w:sz w:val="28"/>
        </w:rPr>
        <w:t xml:space="preserve"> ），并于收到样品</w:t>
      </w:r>
      <w:r>
        <w:rPr>
          <w:rFonts w:hint="eastAsia" w:eastAsia="楷体_GB2312"/>
          <w:sz w:val="28"/>
          <w:lang w:val="en-US" w:eastAsia="zh-CN"/>
        </w:rPr>
        <w:t>72h</w:t>
      </w:r>
      <w:r>
        <w:rPr>
          <w:rFonts w:hint="eastAsia" w:eastAsia="楷体_GB2312"/>
          <w:sz w:val="28"/>
        </w:rPr>
        <w:t>以内扫描结果报送二维码</w:t>
      </w:r>
      <w:r>
        <w:rPr>
          <w:rFonts w:hint="eastAsia" w:eastAsia="楷体_GB2312"/>
          <w:sz w:val="28"/>
          <w:lang w:val="en-US" w:eastAsia="zh-CN"/>
        </w:rPr>
        <w:t>进行上报</w:t>
      </w:r>
      <w:r>
        <w:rPr>
          <w:rFonts w:hint="eastAsia" w:eastAsia="楷体_GB2312"/>
          <w:sz w:val="28"/>
        </w:rPr>
        <w:t>。结果报告单原件及相关材料</w:t>
      </w:r>
      <w:r>
        <w:rPr>
          <w:rFonts w:hint="eastAsia" w:eastAsia="楷体_GB2312"/>
          <w:sz w:val="28"/>
          <w:lang w:val="en-US" w:eastAsia="zh-CN"/>
        </w:rPr>
        <w:t>原件</w:t>
      </w:r>
      <w:r>
        <w:rPr>
          <w:rFonts w:hint="eastAsia" w:eastAsia="楷体_GB2312"/>
          <w:sz w:val="28"/>
        </w:rPr>
        <w:t>，请以特快专递方式报送，并在信封上注明“202</w:t>
      </w:r>
      <w:r>
        <w:rPr>
          <w:rFonts w:hint="eastAsia" w:eastAsia="楷体_GB2312"/>
          <w:sz w:val="28"/>
          <w:lang w:val="en-US" w:eastAsia="zh-CN"/>
        </w:rPr>
        <w:t>3</w:t>
      </w:r>
      <w:r>
        <w:rPr>
          <w:rFonts w:hint="eastAsia" w:eastAsia="楷体_GB2312"/>
          <w:sz w:val="28"/>
        </w:rPr>
        <w:t>年</w:t>
      </w:r>
      <w:r>
        <w:rPr>
          <w:rFonts w:hint="eastAsia" w:eastAsia="楷体_GB2312"/>
          <w:sz w:val="28"/>
          <w:lang w:val="en-US" w:eastAsia="zh-CN"/>
        </w:rPr>
        <w:t>维卡软化温度</w:t>
      </w:r>
      <w:r>
        <w:rPr>
          <w:rFonts w:hint="eastAsia" w:eastAsia="楷体_GB2312"/>
          <w:sz w:val="28"/>
        </w:rPr>
        <w:t>检验能力验证”字样。</w:t>
      </w:r>
    </w:p>
    <w:p>
      <w:pPr>
        <w:spacing w:line="560" w:lineRule="exact"/>
        <w:ind w:firstLine="138" w:firstLineChars="49"/>
        <w:rPr>
          <w:rFonts w:hint="eastAsia" w:eastAsia="楷体_GB2312"/>
          <w:b/>
          <w:color w:val="000000"/>
          <w:sz w:val="28"/>
          <w:szCs w:val="28"/>
        </w:rPr>
      </w:pPr>
      <w:r>
        <w:rPr>
          <w:rFonts w:hint="eastAsia" w:eastAsia="楷体_GB2312"/>
          <w:b/>
          <w:color w:val="000000"/>
          <w:sz w:val="28"/>
          <w:szCs w:val="28"/>
        </w:rPr>
        <w:t>五、注意事项</w:t>
      </w:r>
    </w:p>
    <w:p>
      <w:pPr>
        <w:spacing w:line="560" w:lineRule="exact"/>
        <w:ind w:firstLine="700" w:firstLineChars="250"/>
        <w:rPr>
          <w:rFonts w:hint="eastAsia" w:eastAsia="楷体_GB2312"/>
          <w:color w:val="000000"/>
          <w:sz w:val="28"/>
          <w:szCs w:val="28"/>
        </w:rPr>
      </w:pPr>
      <w:r>
        <w:rPr>
          <w:rFonts w:hint="eastAsia" w:eastAsia="楷体_GB2312"/>
          <w:color w:val="000000"/>
          <w:sz w:val="28"/>
          <w:szCs w:val="28"/>
        </w:rPr>
        <w:t>参加实验室注意：务必报告本实验室真实测定结果，统计时以结果上报单中结果为准，严禁与其他实验室串通修改结果。如发现报告结果与原始记录不符的，其结果按不合格统计，并上报省局认证处。</w:t>
      </w:r>
    </w:p>
    <w:p>
      <w:pPr>
        <w:spacing w:line="560" w:lineRule="exact"/>
        <w:rPr>
          <w:rFonts w:hint="eastAsia" w:eastAsia="楷体_GB2312"/>
          <w:b/>
          <w:color w:val="000000"/>
          <w:sz w:val="28"/>
          <w:szCs w:val="28"/>
        </w:rPr>
      </w:pPr>
      <w:r>
        <w:rPr>
          <w:rFonts w:hint="eastAsia" w:eastAsia="楷体_GB2312"/>
          <w:b/>
          <w:color w:val="000000"/>
          <w:sz w:val="28"/>
          <w:szCs w:val="28"/>
        </w:rPr>
        <w:t>六、咨询方式</w:t>
      </w:r>
    </w:p>
    <w:p>
      <w:pPr>
        <w:spacing w:line="560" w:lineRule="exact"/>
        <w:ind w:firstLine="560" w:firstLineChars="200"/>
        <w:rPr>
          <w:rFonts w:hint="eastAsia" w:eastAsia="楷体_GB2312"/>
          <w:color w:val="000000"/>
          <w:sz w:val="28"/>
          <w:szCs w:val="28"/>
        </w:rPr>
      </w:pPr>
      <w:r>
        <w:rPr>
          <w:rFonts w:hint="eastAsia" w:eastAsia="楷体_GB2312"/>
          <w:color w:val="000000"/>
          <w:sz w:val="28"/>
          <w:szCs w:val="28"/>
        </w:rPr>
        <w:t>测试过程中如有任何疑问或问题，请随时与</w:t>
      </w:r>
      <w:r>
        <w:rPr>
          <w:rFonts w:hint="eastAsia" w:eastAsia="楷体_GB2312"/>
          <w:color w:val="000000"/>
          <w:sz w:val="28"/>
          <w:szCs w:val="28"/>
          <w:lang w:val="en-US" w:eastAsia="zh-CN"/>
        </w:rPr>
        <w:t>山东</w:t>
      </w:r>
      <w:r>
        <w:rPr>
          <w:rFonts w:hint="eastAsia" w:eastAsia="楷体_GB2312"/>
          <w:color w:val="000000"/>
          <w:sz w:val="28"/>
          <w:szCs w:val="28"/>
        </w:rPr>
        <w:t>省质检院联系，联系方式见</w:t>
      </w:r>
      <w:r>
        <w:rPr>
          <w:rFonts w:hint="eastAsia" w:eastAsia="楷体_GB2312"/>
          <w:color w:val="000000"/>
          <w:sz w:val="28"/>
          <w:szCs w:val="28"/>
          <w:lang w:val="en-US" w:eastAsia="zh-CN"/>
        </w:rPr>
        <w:t>报名须知（</w:t>
      </w:r>
      <w:r>
        <w:rPr>
          <w:rFonts w:hint="eastAsia" w:eastAsia="楷体_GB2312"/>
          <w:color w:val="000000"/>
          <w:sz w:val="28"/>
          <w:szCs w:val="28"/>
        </w:rPr>
        <w:t>附件</w:t>
      </w:r>
      <w:r>
        <w:rPr>
          <w:rFonts w:hint="eastAsia" w:eastAsia="楷体_GB2312"/>
          <w:color w:val="000000"/>
          <w:sz w:val="28"/>
          <w:szCs w:val="28"/>
          <w:lang w:val="en-US" w:eastAsia="zh-CN"/>
        </w:rPr>
        <w:t>2）</w:t>
      </w:r>
    </w:p>
    <w:p>
      <w:pPr>
        <w:spacing w:line="560" w:lineRule="exact"/>
        <w:rPr>
          <w:rFonts w:hint="eastAsia" w:eastAsia="楷体_GB2312"/>
          <w:color w:val="000000"/>
          <w:sz w:val="28"/>
          <w:szCs w:val="28"/>
        </w:rPr>
      </w:pPr>
    </w:p>
    <w:p>
      <w:pPr>
        <w:rPr>
          <w:color w:val="FF000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A202D"/>
    <w:multiLevelType w:val="multilevel"/>
    <w:tmpl w:val="238A202D"/>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C8E"/>
    <w:rsid w:val="00036B7D"/>
    <w:rsid w:val="000B681A"/>
    <w:rsid w:val="000E4F53"/>
    <w:rsid w:val="001247AF"/>
    <w:rsid w:val="00127ABB"/>
    <w:rsid w:val="001770E8"/>
    <w:rsid w:val="002F363A"/>
    <w:rsid w:val="00316084"/>
    <w:rsid w:val="003D6FC5"/>
    <w:rsid w:val="00521CE0"/>
    <w:rsid w:val="005469C8"/>
    <w:rsid w:val="00605051"/>
    <w:rsid w:val="00636C22"/>
    <w:rsid w:val="0065657D"/>
    <w:rsid w:val="0065712F"/>
    <w:rsid w:val="00671EB0"/>
    <w:rsid w:val="006B1950"/>
    <w:rsid w:val="006C1F14"/>
    <w:rsid w:val="006E79E5"/>
    <w:rsid w:val="00752B56"/>
    <w:rsid w:val="0078463E"/>
    <w:rsid w:val="008830D5"/>
    <w:rsid w:val="008F011B"/>
    <w:rsid w:val="00AF28BB"/>
    <w:rsid w:val="00B31898"/>
    <w:rsid w:val="00B612D5"/>
    <w:rsid w:val="00B97476"/>
    <w:rsid w:val="00BA689D"/>
    <w:rsid w:val="00BB0C31"/>
    <w:rsid w:val="00C25468"/>
    <w:rsid w:val="00C35B34"/>
    <w:rsid w:val="00CA4D5D"/>
    <w:rsid w:val="00D32B51"/>
    <w:rsid w:val="00E23784"/>
    <w:rsid w:val="00E95589"/>
    <w:rsid w:val="00EC2C8E"/>
    <w:rsid w:val="00EE5ED8"/>
    <w:rsid w:val="00F048F2"/>
    <w:rsid w:val="00F36EBF"/>
    <w:rsid w:val="24732B9A"/>
    <w:rsid w:val="283C2125"/>
    <w:rsid w:val="290B54BA"/>
    <w:rsid w:val="49133A5E"/>
    <w:rsid w:val="4BC14449"/>
    <w:rsid w:val="4D1D2EFA"/>
    <w:rsid w:val="54B6503B"/>
    <w:rsid w:val="58B94B94"/>
    <w:rsid w:val="5BF96715"/>
    <w:rsid w:val="5E7D2474"/>
    <w:rsid w:val="63410566"/>
    <w:rsid w:val="63F21D41"/>
    <w:rsid w:val="677D6B75"/>
    <w:rsid w:val="72571FFB"/>
    <w:rsid w:val="74496FE1"/>
    <w:rsid w:val="75586C3E"/>
    <w:rsid w:val="7BFA5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link w:val="11"/>
    <w:qFormat/>
    <w:uiPriority w:val="99"/>
    <w:pPr>
      <w:tabs>
        <w:tab w:val="left" w:pos="0"/>
        <w:tab w:val="left" w:pos="900"/>
      </w:tabs>
      <w:autoSpaceDE w:val="0"/>
      <w:autoSpaceDN w:val="0"/>
      <w:adjustRightInd w:val="0"/>
      <w:spacing w:line="360" w:lineRule="auto"/>
      <w:ind w:firstLine="420"/>
      <w:jc w:val="left"/>
    </w:pPr>
    <w:rPr>
      <w:kern w:val="0"/>
      <w:sz w:val="24"/>
      <w:szCs w:val="20"/>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Normal_38"/>
    <w:qFormat/>
    <w:uiPriority w:val="99"/>
    <w:pPr>
      <w:spacing w:before="120" w:after="240"/>
      <w:jc w:val="both"/>
    </w:pPr>
    <w:rPr>
      <w:rFonts w:ascii="Calibri" w:hAnsi="Calibri" w:eastAsia="Calibri" w:cs="Times New Roman"/>
      <w:kern w:val="0"/>
      <w:sz w:val="22"/>
      <w:szCs w:val="22"/>
      <w:lang w:val="ru-RU" w:eastAsia="en-US" w:bidi="ar-SA"/>
    </w:rPr>
  </w:style>
  <w:style w:type="character" w:customStyle="1" w:styleId="11">
    <w:name w:val="正文缩进 Char"/>
    <w:link w:val="2"/>
    <w:qFormat/>
    <w:locked/>
    <w:uiPriority w:val="99"/>
    <w:rPr>
      <w:rFonts w:ascii="Times New Roman" w:hAnsi="Times New Roman" w:eastAsia="宋体" w:cs="Times New Roman"/>
      <w:kern w:val="0"/>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240</Words>
  <Characters>1370</Characters>
  <Lines>11</Lines>
  <Paragraphs>3</Paragraphs>
  <TotalTime>22</TotalTime>
  <ScaleCrop>false</ScaleCrop>
  <LinksUpToDate>false</LinksUpToDate>
  <CharactersWithSpaces>1607</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2020-05-27T06:41:00Z</dcterms:created>
  <dc:creator>Anonymous</dc:creator>
  <cp:lastModifiedBy>孙海勇</cp:lastModifiedBy>
  <dcterms:modified xsi:type="dcterms:W3CDTF">2023-07-25T11:27:11Z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