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ms-word.template.macroEnabledTemplate.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vbaData.xml" ContentType="application/vnd.ms-word.vbaData+xml"/>
  <Override PartName="/word/vbaProject.bin" ContentType="application/vnd.ms-office.vbaProject"/>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0"/>
      </w:pPr>
      <w:r>
        <w:rPr>
          <w:rFonts w:ascii="Times New Roman"/>
        </w:rPr>
        <w:t>ICS</w:t>
      </w:r>
      <w:r>
        <w:rPr>
          <w:rFonts w:hAnsi="黑体"/>
        </w:rPr>
        <w:t> </w:t>
      </w:r>
      <w:r>
        <w:fldChar w:fldCharType="begin">
          <w:ffData>
            <w:name w:val="ICS"/>
            <w:enabled/>
            <w:calcOnExit w:val="0"/>
            <w:helpText w:type="text" w:val="请输入正确的ICS号："/>
            <w:textInput>
              <w:default w:val="点击此处添加ICS号"/>
            </w:textInput>
          </w:ffData>
        </w:fldChar>
      </w:r>
      <w:bookmarkStart w:id="0" w:name="ICS"/>
      <w:r>
        <w:instrText xml:space="preserve"> FORMTEXT </w:instrText>
      </w:r>
      <w:r>
        <w:fldChar w:fldCharType="separate"/>
      </w:r>
      <w:r>
        <w:rPr>
          <w:rFonts w:hint="eastAsia"/>
        </w:rPr>
        <w:t>13.020.20</w:t>
      </w:r>
      <w:r>
        <w:fldChar w:fldCharType="end"/>
      </w:r>
      <w:bookmarkEnd w:id="0"/>
    </w:p>
    <w:p>
      <w:pPr>
        <w:pStyle w:val="120"/>
      </w:pPr>
      <w:r>
        <w:fldChar w:fldCharType="begin">
          <w:ffData>
            <w:name w:val="WXFLH"/>
            <w:enabled/>
            <w:calcOnExit w:val="0"/>
            <w:helpText w:type="text" w:val="请输入中国标准文献分类号："/>
            <w:textInput>
              <w:default w:val="点击此处添加中国标准文献分类号"/>
            </w:textInput>
          </w:ffData>
        </w:fldChar>
      </w:r>
      <w:bookmarkStart w:id="1" w:name="WXFLH"/>
      <w:r>
        <w:instrText xml:space="preserve"> FORMTEXT </w:instrText>
      </w:r>
      <w:r>
        <w:fldChar w:fldCharType="separate"/>
      </w:r>
      <w:r>
        <w:rPr>
          <w:rFonts w:hint="eastAsia"/>
        </w:rPr>
        <w:t>Z 04</w:t>
      </w:r>
      <w:r>
        <w:fldChar w:fldCharType="end"/>
      </w:r>
      <w:bookmarkEnd w:id="1"/>
    </w:p>
    <w:tbl>
      <w:tblPr>
        <w:tblStyle w:val="37"/>
        <w:tblW w:w="95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tcBorders>
              <w:top w:val="nil"/>
              <w:left w:val="nil"/>
              <w:bottom w:val="nil"/>
              <w:right w:val="nil"/>
            </w:tcBorders>
            <w:shd w:val="clear" w:color="auto" w:fill="auto"/>
          </w:tcPr>
          <w:p>
            <w:pPr>
              <w:pStyle w:val="120"/>
            </w:pPr>
            <w:r>
              <w:pict>
                <v:rect id="BAH" o:spid="_x0000_s1026" o:spt="1" style="position:absolute;left:0pt;margin-left:-5.25pt;margin-top:0pt;height:15.6pt;width:68.25pt;z-index:-251650048;v-text-anchor:middle;mso-width-relative:page;mso-height-relative:page;" stroked="f" coordsize="21600,21600">
                  <v:path/>
                  <v:fill focussize="0,0"/>
                  <v:stroke on="f" weight="2pt" color="#243F60"/>
                  <v:imagedata o:title=""/>
                  <o:lock v:ext="edit"/>
                </v:rect>
              </w:pict>
            </w:r>
            <w:r>
              <w:fldChar w:fldCharType="begin">
                <w:ffData>
                  <w:name w:val="BAH"/>
                  <w:enabled/>
                  <w:calcOnExit w:val="0"/>
                  <w:textInput/>
                </w:ffData>
              </w:fldChar>
            </w:r>
            <w:bookmarkStart w:id="2" w:name="BAH"/>
            <w:r>
              <w:instrText xml:space="preserve"> FORMTEXT </w:instrText>
            </w:r>
            <w:r>
              <w:fldChar w:fldCharType="separate"/>
            </w:r>
            <w:r>
              <w:t>     </w:t>
            </w:r>
            <w:r>
              <w:fldChar w:fldCharType="end"/>
            </w:r>
            <w:bookmarkEnd w:id="2"/>
          </w:p>
        </w:tc>
      </w:tr>
    </w:tbl>
    <w:p>
      <w:pPr>
        <w:pStyle w:val="106"/>
      </w:pPr>
      <w:r>
        <w:t>D</w:t>
      </w:r>
      <w:r>
        <w:rPr>
          <w:spacing w:val="100"/>
        </w:rPr>
        <w:t>B</w:t>
      </w:r>
      <w:r>
        <w:fldChar w:fldCharType="begin">
          <w:ffData>
            <w:name w:val="c3"/>
            <w:enabled/>
            <w:calcOnExit w:val="0"/>
            <w:entryMacro w:val="ShowHelp16"/>
            <w:textInput/>
          </w:ffData>
        </w:fldChar>
      </w:r>
      <w:bookmarkStart w:id="3" w:name="c3"/>
      <w:r>
        <w:instrText xml:space="preserve"> FORMTEXT </w:instrText>
      </w:r>
      <w:r>
        <w:fldChar w:fldCharType="separate"/>
      </w:r>
      <w:r>
        <w:rPr>
          <w:rFonts w:hint="eastAsia"/>
        </w:rPr>
        <w:t>37</w:t>
      </w:r>
      <w:r>
        <w:fldChar w:fldCharType="end"/>
      </w:r>
      <w:bookmarkEnd w:id="3"/>
    </w:p>
    <w:p>
      <w:pPr>
        <w:pStyle w:val="107"/>
      </w:pPr>
      <w:r>
        <w:fldChar w:fldCharType="begin">
          <w:ffData>
            <w:name w:val="c4"/>
            <w:enabled/>
            <w:calcOnExit w:val="0"/>
            <w:entryMacro w:val="showhelp12"/>
            <w:textInput/>
          </w:ffData>
        </w:fldChar>
      </w:r>
      <w:bookmarkStart w:id="4" w:name="c4"/>
      <w:r>
        <w:instrText xml:space="preserve"> FORMTEXT </w:instrText>
      </w:r>
      <w:r>
        <w:fldChar w:fldCharType="separate"/>
      </w:r>
      <w:r>
        <w:rPr>
          <w:rFonts w:hint="eastAsia"/>
        </w:rPr>
        <w:t>山东省</w:t>
      </w:r>
      <w:r>
        <w:fldChar w:fldCharType="end"/>
      </w:r>
      <w:bookmarkEnd w:id="4"/>
      <w:r>
        <w:t>地方标准</w:t>
      </w:r>
    </w:p>
    <w:p>
      <w:pPr>
        <w:pStyle w:val="44"/>
        <w:rPr>
          <w:rFonts w:hint="default" w:hAnsi="黑体" w:eastAsia="黑体"/>
          <w:lang w:val="en-US" w:eastAsia="zh-CN"/>
        </w:rPr>
      </w:pPr>
      <w:r>
        <w:rPr>
          <w:rFonts w:ascii="Times New Roman"/>
        </w:rPr>
        <w:t xml:space="preserve">DB </w:t>
      </w:r>
      <w:r>
        <w:rPr>
          <w:rFonts w:hAnsi="黑体"/>
        </w:rPr>
        <w:fldChar w:fldCharType="begin">
          <w:ffData>
            <w:name w:val="StdNo0"/>
            <w:enabled/>
            <w:calcOnExit w:val="0"/>
            <w:textInput>
              <w:default w:val="××/T"/>
            </w:textInput>
          </w:ffData>
        </w:fldChar>
      </w:r>
      <w:bookmarkStart w:id="5" w:name="StdNo0"/>
      <w:r>
        <w:rPr>
          <w:rFonts w:hAnsi="黑体"/>
        </w:rPr>
        <w:instrText xml:space="preserve"> FORMTEXT </w:instrText>
      </w:r>
      <w:r>
        <w:rPr>
          <w:rFonts w:hAnsi="黑体"/>
        </w:rPr>
        <w:fldChar w:fldCharType="separate"/>
      </w:r>
      <w:r>
        <w:rPr>
          <w:rFonts w:hAnsi="黑体"/>
        </w:rPr>
        <w:t>37</w:t>
      </w:r>
      <w:r>
        <w:rPr>
          <w:rFonts w:ascii="Times New Roman"/>
        </w:rPr>
        <w:t>/T</w:t>
      </w:r>
      <w:r>
        <w:rPr>
          <w:rFonts w:hAnsi="黑体"/>
        </w:rPr>
        <w:fldChar w:fldCharType="end"/>
      </w:r>
      <w:bookmarkEnd w:id="5"/>
      <w:r>
        <w:rPr>
          <w:rFonts w:hint="eastAsia" w:hAnsi="黑体"/>
          <w:lang w:val="en-US" w:eastAsia="zh-CN"/>
        </w:rPr>
        <w:t xml:space="preserve"> XXXX</w:t>
      </w:r>
      <w:r>
        <w:rPr>
          <w:rFonts w:hAnsi="黑体"/>
        </w:rPr>
        <w:t>—</w:t>
      </w:r>
      <w:r>
        <w:rPr>
          <w:rFonts w:hint="eastAsia" w:hAnsi="黑体"/>
          <w:lang w:val="en-US" w:eastAsia="zh-CN"/>
        </w:rPr>
        <w:t>XXXX</w:t>
      </w:r>
    </w:p>
    <w:tbl>
      <w:tblPr>
        <w:tblStyle w:val="37"/>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73"/>
            </w:pPr>
            <w:r>
              <w:pict>
                <v:rect id="DT" o:spid="_x0000_s1031" o:spt="1" style="position:absolute;left:0pt;margin-left:372.8pt;margin-top:2.7pt;height:18pt;width:90pt;z-index:-251653120;v-text-anchor:middle;mso-width-relative:page;mso-height-relative:page;" stroked="f" coordsize="21600,21600">
                  <v:path/>
                  <v:fill focussize="0,0"/>
                  <v:stroke on="f" weight="2pt" color="#243F60"/>
                  <v:imagedata o:title=""/>
                  <o:lock v:ext="edit"/>
                </v:rect>
              </w:pict>
            </w:r>
            <w:r>
              <w:fldChar w:fldCharType="begin">
                <w:ffData>
                  <w:name w:val="DT"/>
                  <w:enabled/>
                  <w:calcOnExit w:val="0"/>
                  <w:entryMacro w:val="ShowHelp4"/>
                  <w:textInput/>
                </w:ffData>
              </w:fldChar>
            </w:r>
            <w:bookmarkStart w:id="6" w:name="DT"/>
            <w:r>
              <w:instrText xml:space="preserve"> FORMTEXT </w:instrText>
            </w:r>
            <w:r>
              <w:fldChar w:fldCharType="separate"/>
            </w:r>
            <w:r>
              <w:t>     </w:t>
            </w:r>
            <w:r>
              <w:fldChar w:fldCharType="end"/>
            </w:r>
            <w:bookmarkEnd w:id="6"/>
          </w:p>
        </w:tc>
      </w:tr>
    </w:tbl>
    <w:p>
      <w:pPr>
        <w:pStyle w:val="44"/>
        <w:rPr>
          <w:rFonts w:hAnsi="黑体"/>
        </w:rPr>
      </w:pPr>
    </w:p>
    <w:p>
      <w:pPr>
        <w:pStyle w:val="44"/>
        <w:rPr>
          <w:rFonts w:hAnsi="黑体"/>
        </w:rPr>
      </w:pPr>
    </w:p>
    <w:p>
      <w:pPr>
        <w:pStyle w:val="75"/>
      </w:pPr>
      <w:r>
        <w:fldChar w:fldCharType="begin">
          <w:ffData>
            <w:name w:val="StdName"/>
            <w:enabled/>
            <w:calcOnExit w:val="0"/>
            <w:textInput>
              <w:default w:val="点击此处添加标准名称"/>
            </w:textInput>
          </w:ffData>
        </w:fldChar>
      </w:r>
      <w:bookmarkStart w:id="7" w:name="StdName"/>
      <w:r>
        <w:instrText xml:space="preserve"> FORMTEXT </w:instrText>
      </w:r>
      <w:r>
        <w:fldChar w:fldCharType="separate"/>
      </w:r>
      <w:r>
        <w:rPr>
          <w:rFonts w:hint="eastAsia"/>
        </w:rPr>
        <w:t>绿色产品评价规范　</w:t>
      </w:r>
      <w:r>
        <w:rPr>
          <w:rFonts w:hint="eastAsia"/>
          <w:lang w:val="en-US" w:eastAsia="zh-CN"/>
        </w:rPr>
        <w:t>商用电蒸箱</w:t>
      </w:r>
      <w:r>
        <w:fldChar w:fldCharType="end"/>
      </w:r>
      <w:bookmarkEnd w:id="7"/>
    </w:p>
    <w:p>
      <w:pPr>
        <w:pStyle w:val="76"/>
      </w:pPr>
      <w:r>
        <w:fldChar w:fldCharType="begin">
          <w:ffData>
            <w:name w:val="StdEnglishName"/>
            <w:enabled/>
            <w:calcOnExit w:val="0"/>
            <w:textInput>
              <w:default w:val="点击此处添加标准英文译名"/>
            </w:textInput>
          </w:ffData>
        </w:fldChar>
      </w:r>
      <w:bookmarkStart w:id="8" w:name="StdEnglishName"/>
      <w:r>
        <w:instrText xml:space="preserve"> FORMTEXT </w:instrText>
      </w:r>
      <w:r>
        <w:fldChar w:fldCharType="separate"/>
      </w:r>
      <w:r>
        <w:rPr>
          <w:rFonts w:hint="eastAsia"/>
        </w:rPr>
        <w:t>Green product assessment specification</w:t>
      </w:r>
      <w:r>
        <w:rPr>
          <w:rFonts w:hint="eastAsia"/>
          <w:lang w:eastAsia="zh-CN"/>
        </w:rPr>
        <w:t>—</w:t>
      </w:r>
      <w:r>
        <w:rPr>
          <w:rFonts w:hint="eastAsia"/>
          <w:lang w:val="en-US" w:eastAsia="zh-CN"/>
        </w:rPr>
        <w:t>c</w:t>
      </w:r>
      <w:r>
        <w:rPr>
          <w:rFonts w:hint="eastAsia"/>
        </w:rPr>
        <w:t>ommercial electric steamer</w:t>
      </w:r>
      <w:r>
        <w:fldChar w:fldCharType="end"/>
      </w:r>
      <w:bookmarkEnd w:id="8"/>
    </w:p>
    <w:tbl>
      <w:tblPr>
        <w:tblStyle w:val="37"/>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78"/>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79"/>
            </w:pPr>
          </w:p>
        </w:tc>
      </w:tr>
    </w:tbl>
    <w:p>
      <w:pPr>
        <w:pStyle w:val="127"/>
      </w:pPr>
      <w:r>
        <w:rPr>
          <w:rFonts w:ascii="黑体"/>
          <w:lang w:val="en-US"/>
        </w:rPr>
        <w:pict>
          <v:line id="直接连接符 3" o:spid="_x0000_s1030" o:spt="20" style="position:absolute;left:0pt;margin-left:-0.05pt;margin-top:23.7pt;height:0pt;width:481.9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">
            <v:path arrowok="t"/>
            <v:fill focussize="0,0"/>
            <v:stroke/>
            <v:imagedata o:title=""/>
            <o:lock v:ext="edit"/>
          </v:line>
        </w:pict>
      </w:r>
      <w:r>
        <w:rPr>
          <w:rFonts w:hint="eastAsia" w:ascii="黑体"/>
          <w:lang w:val="en-US" w:eastAsia="zh-CN"/>
        </w:rPr>
        <w:t>XXXX</w:t>
      </w:r>
      <w:r>
        <w:rPr>
          <w:rFonts w:ascii="黑体"/>
        </w:rPr>
        <w:t>-</w:t>
      </w:r>
      <w:r>
        <w:rPr>
          <w:rFonts w:hint="eastAsia" w:ascii="黑体"/>
          <w:lang w:val="en-US" w:eastAsia="zh-CN"/>
        </w:rPr>
        <w:t>XX</w:t>
      </w:r>
      <w:r>
        <w:rPr>
          <w:rFonts w:ascii="黑体"/>
        </w:rPr>
        <w:t>-</w:t>
      </w:r>
      <w:r>
        <w:rPr>
          <w:rFonts w:hint="eastAsia" w:ascii="黑体"/>
          <w:lang w:val="en-US" w:eastAsia="zh-CN"/>
        </w:rPr>
        <w:t>XX</w:t>
      </w:r>
      <w:r>
        <w:rPr>
          <w:rFonts w:hint="eastAsia"/>
        </w:rPr>
        <w:t>发布</w:t>
      </w:r>
      <w:r>
        <w:pict>
          <v:line id="直接连接符 2" o:spid="_x0000_s1029" o:spt="20" style="position:absolute;left:0pt;margin-left:-0.05pt;margin-top:184.25pt;height:0pt;width:481.9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">
            <v:path arrowok="t"/>
            <v:fill focussize="0,0"/>
            <v:stroke/>
            <v:imagedata o:title=""/>
            <o:lock v:ext="edit"/>
          </v:line>
        </w:pict>
      </w:r>
      <w:r>
        <w:pict>
          <v:line id="直接连接符 1" o:spid="_x0000_s1028" o:spt="20" style="position:absolute;left:0pt;margin-left:-0.05pt;margin-top:700.15pt;height:0pt;width:481.9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">
            <v:path arrowok="t"/>
            <v:fill focussize="0,0"/>
            <v:stroke/>
            <v:imagedata o:title=""/>
            <o:lock v:ext="edit"/>
          </v:line>
        </w:pict>
      </w:r>
    </w:p>
    <w:p>
      <w:pPr>
        <w:pStyle w:val="128"/>
      </w:pPr>
      <w:r>
        <w:rPr>
          <w:rFonts w:hint="eastAsia" w:ascii="黑体"/>
          <w:lang w:val="en-US" w:eastAsia="zh-CN"/>
        </w:rPr>
        <w:t>XXXX</w:t>
      </w:r>
      <w:r>
        <w:rPr>
          <w:rFonts w:ascii="黑体"/>
        </w:rPr>
        <w:t>-</w:t>
      </w:r>
      <w:r>
        <w:rPr>
          <w:rFonts w:hint="eastAsia" w:ascii="黑体"/>
          <w:lang w:val="en-US" w:eastAsia="zh-CN"/>
        </w:rPr>
        <w:t>XX</w:t>
      </w:r>
      <w:r>
        <w:rPr>
          <w:rFonts w:ascii="黑体"/>
        </w:rPr>
        <w:t>-</w:t>
      </w:r>
      <w:r>
        <w:rPr>
          <w:rFonts w:hint="eastAsia" w:ascii="黑体"/>
          <w:lang w:val="en-US" w:eastAsia="zh-CN"/>
        </w:rPr>
        <w:t>XX</w:t>
      </w:r>
      <w:r>
        <w:rPr>
          <w:rFonts w:hint="eastAsia"/>
        </w:rPr>
        <w:t>实施</w:t>
      </w:r>
    </w:p>
    <w:p>
      <w:pPr>
        <w:pStyle w:val="108"/>
      </w:pPr>
      <w:r>
        <w:fldChar w:fldCharType="begin">
          <w:ffData>
            <w:name w:val="fm"/>
            <w:enabled/>
            <w:calcOnExit w:val="0"/>
            <w:textInput/>
          </w:ffData>
        </w:fldChar>
      </w:r>
      <w:bookmarkStart w:id="9" w:name="fm"/>
      <w:r>
        <w:instrText xml:space="preserve"> FORMTEXT </w:instrText>
      </w:r>
      <w:r>
        <w:fldChar w:fldCharType="separate"/>
      </w:r>
      <w:r>
        <w:rPr>
          <w:rFonts w:hint="eastAsia"/>
        </w:rPr>
        <w:t>山东省市场监督管理局</w:t>
      </w:r>
      <w:r>
        <w:fldChar w:fldCharType="end"/>
      </w:r>
      <w:bookmarkEnd w:id="9"/>
      <w:r>
        <w:rPr>
          <w:rFonts w:hint="eastAsia"/>
        </w:rPr>
        <w:t xml:space="preserve">  </w:t>
      </w:r>
      <w:r>
        <w:rPr>
          <w:rStyle w:val="70"/>
          <w:rFonts w:hint="eastAsia"/>
        </w:rPr>
        <w:t>发布</w:t>
      </w:r>
    </w:p>
    <w:p>
      <w:pPr>
        <w:pStyle w:val="22"/>
        <w:sectPr>
          <w:headerReference r:id="rId3" w:type="even"/>
          <w:footerReference r:id="rId4" w:type="even"/>
          <w:pgSz w:w="11906" w:h="16838"/>
          <w:pgMar w:top="567" w:right="1134" w:bottom="1134" w:left="1417" w:header="0" w:footer="0" w:gutter="0"/>
          <w:pgNumType w:start="1"/>
          <w:cols w:space="425" w:num="1"/>
          <w:docGrid w:type="lines" w:linePitch="312" w:charSpace="0"/>
        </w:sectPr>
      </w:pPr>
      <w:r>
        <w:pict>
          <v:line id="直接连接符 4" o:spid="_x0000_s1027" o:spt="20" style="position:absolute;left:0pt;margin-left:-0.05pt;margin-top:184.25pt;height:0pt;width:481.9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">
            <v:path arrowok="t"/>
            <v:fill focussize="0,0"/>
            <v:stroke/>
            <v:imagedata o:title=""/>
            <o:lock v:ext="edit"/>
          </v:line>
        </w:pict>
      </w:r>
    </w:p>
    <w:p>
      <w:pPr>
        <w:pStyle w:val="47"/>
      </w:pPr>
      <w:bookmarkStart w:id="10" w:name="BKQY"/>
      <w:r>
        <w:rPr>
          <w:rFonts w:hint="eastAsia"/>
        </w:rPr>
        <w:t>目</w:t>
      </w:r>
      <w:bookmarkStart w:id="11" w:name="BKML"/>
      <w:r>
        <w:rPr>
          <w:rFonts w:hAnsi="黑体"/>
        </w:rPr>
        <w:t>  </w:t>
      </w:r>
      <w:r>
        <w:rPr>
          <w:rFonts w:hint="eastAsia"/>
        </w:rPr>
        <w:t>次</w:t>
      </w:r>
      <w:bookmarkEnd w:id="11"/>
    </w:p>
    <w:p>
      <w:pPr>
        <w:pStyle w:val="18"/>
        <w:spacing w:before="78" w:after="78"/>
        <w:rPr>
          <w:rFonts w:asciiTheme="minorHAnsi" w:hAnsiTheme="minorHAnsi" w:eastAsiaTheme="minorEastAsia" w:cstheme="minorBidi"/>
          <w:szCs w:val="22"/>
        </w:rPr>
      </w:pPr>
      <w:r>
        <w:fldChar w:fldCharType="begin" w:fldLock="1"/>
      </w:r>
      <w:r>
        <w:instrText xml:space="preserve"> TOC \h \z \t"前言、引言标题,1,参考文献、索引标题,1,章标题,1,参考文献,1,附录标识,1" \* MERGEFORMAT </w:instrText>
      </w:r>
      <w:r>
        <w:fldChar w:fldCharType="separate"/>
      </w:r>
      <w:r>
        <w:fldChar w:fldCharType="begin"/>
      </w:r>
      <w:r>
        <w:instrText xml:space="preserve"> HYPERLINK \l "_Toc19192514" </w:instrText>
      </w:r>
      <w:r>
        <w:fldChar w:fldCharType="separate"/>
      </w:r>
      <w:r>
        <w:rPr>
          <w:rStyle w:val="34"/>
          <w:rFonts w:hint="eastAsia"/>
        </w:rPr>
        <w:t>前言</w:t>
      </w:r>
      <w:r>
        <w:tab/>
      </w:r>
      <w:r>
        <w:fldChar w:fldCharType="begin" w:fldLock="1"/>
      </w:r>
      <w:r>
        <w:instrText xml:space="preserve"> PAGEREF _Toc19192514 \h </w:instrText>
      </w:r>
      <w:r>
        <w:fldChar w:fldCharType="separate"/>
      </w:r>
      <w:r>
        <w:t>II</w:t>
      </w:r>
      <w:r>
        <w:fldChar w:fldCharType="end"/>
      </w:r>
      <w:r>
        <w:fldChar w:fldCharType="end"/>
      </w:r>
    </w:p>
    <w:p>
      <w:pPr>
        <w:pStyle w:val="18"/>
        <w:spacing w:before="78" w:after="78"/>
        <w:rPr>
          <w:rFonts w:asciiTheme="minorHAnsi" w:hAnsiTheme="minorHAnsi" w:eastAsiaTheme="minorEastAsia" w:cstheme="minorBidi"/>
          <w:szCs w:val="22"/>
        </w:rPr>
      </w:pPr>
      <w:r>
        <w:fldChar w:fldCharType="begin"/>
      </w:r>
      <w:r>
        <w:instrText xml:space="preserve"> HYPERLINK \l "_Toc19192515" </w:instrText>
      </w:r>
      <w:r>
        <w:fldChar w:fldCharType="separate"/>
      </w:r>
      <w:r>
        <w:rPr>
          <w:rStyle w:val="34"/>
        </w:rPr>
        <w:t>1</w:t>
      </w:r>
      <w:r>
        <w:rPr>
          <w:rStyle w:val="34"/>
          <w:rFonts w:hint="eastAsia"/>
        </w:rPr>
        <w:t>　范围</w:t>
      </w:r>
      <w:r>
        <w:tab/>
      </w:r>
      <w:r>
        <w:fldChar w:fldCharType="begin" w:fldLock="1"/>
      </w:r>
      <w:r>
        <w:instrText xml:space="preserve"> PAGEREF _Toc19192515 \h </w:instrText>
      </w:r>
      <w:r>
        <w:fldChar w:fldCharType="separate"/>
      </w:r>
      <w:r>
        <w:t>1</w:t>
      </w:r>
      <w:r>
        <w:fldChar w:fldCharType="end"/>
      </w:r>
      <w:r>
        <w:fldChar w:fldCharType="end"/>
      </w:r>
    </w:p>
    <w:p>
      <w:pPr>
        <w:pStyle w:val="18"/>
        <w:spacing w:before="78" w:after="78"/>
        <w:rPr>
          <w:rFonts w:asciiTheme="minorHAnsi" w:hAnsiTheme="minorHAnsi" w:eastAsiaTheme="minorEastAsia" w:cstheme="minorBidi"/>
          <w:szCs w:val="22"/>
        </w:rPr>
      </w:pPr>
      <w:r>
        <w:fldChar w:fldCharType="begin"/>
      </w:r>
      <w:r>
        <w:instrText xml:space="preserve"> HYPERLINK \l "_Toc19192516" </w:instrText>
      </w:r>
      <w:r>
        <w:fldChar w:fldCharType="separate"/>
      </w:r>
      <w:r>
        <w:rPr>
          <w:rStyle w:val="34"/>
        </w:rPr>
        <w:t>2</w:t>
      </w:r>
      <w:r>
        <w:rPr>
          <w:rStyle w:val="34"/>
          <w:rFonts w:hint="eastAsia"/>
        </w:rPr>
        <w:t>　规范性引用文件</w:t>
      </w:r>
      <w:r>
        <w:tab/>
      </w:r>
      <w:r>
        <w:fldChar w:fldCharType="begin" w:fldLock="1"/>
      </w:r>
      <w:r>
        <w:instrText xml:space="preserve"> PAGEREF _Toc19192516 \h </w:instrText>
      </w:r>
      <w:r>
        <w:fldChar w:fldCharType="separate"/>
      </w:r>
      <w:r>
        <w:t>1</w:t>
      </w:r>
      <w:r>
        <w:fldChar w:fldCharType="end"/>
      </w:r>
      <w:r>
        <w:fldChar w:fldCharType="end"/>
      </w:r>
    </w:p>
    <w:p>
      <w:pPr>
        <w:pStyle w:val="18"/>
        <w:spacing w:before="78" w:after="78"/>
        <w:rPr>
          <w:rFonts w:asciiTheme="minorHAnsi" w:hAnsiTheme="minorHAnsi" w:eastAsiaTheme="minorEastAsia" w:cstheme="minorBidi"/>
          <w:szCs w:val="22"/>
        </w:rPr>
      </w:pPr>
      <w:r>
        <w:fldChar w:fldCharType="begin"/>
      </w:r>
      <w:r>
        <w:instrText xml:space="preserve"> HYPERLINK \l "_Toc19192517" </w:instrText>
      </w:r>
      <w:r>
        <w:fldChar w:fldCharType="separate"/>
      </w:r>
      <w:r>
        <w:rPr>
          <w:rStyle w:val="34"/>
        </w:rPr>
        <w:t>3</w:t>
      </w:r>
      <w:r>
        <w:rPr>
          <w:rStyle w:val="34"/>
          <w:rFonts w:hint="eastAsia"/>
        </w:rPr>
        <w:t>　术语和定义</w:t>
      </w:r>
      <w:r>
        <w:tab/>
      </w:r>
      <w:r>
        <w:fldChar w:fldCharType="begin" w:fldLock="1"/>
      </w:r>
      <w:r>
        <w:instrText xml:space="preserve"> PAGEREF _Toc19192517 \h </w:instrText>
      </w:r>
      <w:r>
        <w:fldChar w:fldCharType="separate"/>
      </w:r>
      <w:r>
        <w:t>1</w:t>
      </w:r>
      <w:r>
        <w:fldChar w:fldCharType="end"/>
      </w:r>
      <w:r>
        <w:fldChar w:fldCharType="end"/>
      </w:r>
    </w:p>
    <w:p>
      <w:pPr>
        <w:pStyle w:val="18"/>
        <w:spacing w:before="78" w:after="78"/>
        <w:rPr>
          <w:rFonts w:asciiTheme="minorHAnsi" w:hAnsiTheme="minorHAnsi" w:eastAsiaTheme="minorEastAsia" w:cstheme="minorBidi"/>
          <w:szCs w:val="22"/>
        </w:rPr>
      </w:pPr>
      <w:r>
        <w:fldChar w:fldCharType="begin"/>
      </w:r>
      <w:r>
        <w:instrText xml:space="preserve"> HYPERLINK \l "_Toc19192518" </w:instrText>
      </w:r>
      <w:r>
        <w:fldChar w:fldCharType="separate"/>
      </w:r>
      <w:r>
        <w:rPr>
          <w:rStyle w:val="34"/>
        </w:rPr>
        <w:t>4</w:t>
      </w:r>
      <w:r>
        <w:rPr>
          <w:rStyle w:val="34"/>
          <w:rFonts w:hint="eastAsia"/>
        </w:rPr>
        <w:t>　评价要求</w:t>
      </w:r>
      <w:r>
        <w:tab/>
      </w:r>
      <w:r>
        <w:fldChar w:fldCharType="begin" w:fldLock="1"/>
      </w:r>
      <w:r>
        <w:instrText xml:space="preserve"> PAGEREF _Toc19192518 \h </w:instrText>
      </w:r>
      <w:r>
        <w:fldChar w:fldCharType="separate"/>
      </w:r>
      <w:r>
        <w:t>2</w:t>
      </w:r>
      <w:r>
        <w:fldChar w:fldCharType="end"/>
      </w:r>
      <w:r>
        <w:fldChar w:fldCharType="end"/>
      </w:r>
    </w:p>
    <w:p>
      <w:pPr>
        <w:pStyle w:val="18"/>
        <w:spacing w:before="78" w:after="78"/>
        <w:rPr>
          <w:rFonts w:asciiTheme="minorHAnsi" w:hAnsiTheme="minorHAnsi" w:eastAsiaTheme="minorEastAsia" w:cstheme="minorBidi"/>
          <w:szCs w:val="22"/>
        </w:rPr>
      </w:pPr>
      <w:r>
        <w:fldChar w:fldCharType="begin"/>
      </w:r>
      <w:r>
        <w:instrText xml:space="preserve"> HYPERLINK \l "_Toc19192519" </w:instrText>
      </w:r>
      <w:r>
        <w:fldChar w:fldCharType="separate"/>
      </w:r>
      <w:r>
        <w:rPr>
          <w:rStyle w:val="34"/>
        </w:rPr>
        <w:t>5</w:t>
      </w:r>
      <w:r>
        <w:rPr>
          <w:rStyle w:val="34"/>
          <w:rFonts w:hint="eastAsia"/>
        </w:rPr>
        <w:t>　评价方法</w:t>
      </w:r>
      <w:r>
        <w:tab/>
      </w:r>
      <w:r>
        <w:fldChar w:fldCharType="begin" w:fldLock="1"/>
      </w:r>
      <w:r>
        <w:instrText xml:space="preserve"> PAGEREF _Toc19192519 \h </w:instrText>
      </w:r>
      <w:r>
        <w:fldChar w:fldCharType="separate"/>
      </w:r>
      <w:r>
        <w:t>4</w:t>
      </w:r>
      <w:r>
        <w:fldChar w:fldCharType="end"/>
      </w:r>
      <w:r>
        <w:fldChar w:fldCharType="end"/>
      </w:r>
    </w:p>
    <w:p>
      <w:pPr>
        <w:pStyle w:val="22"/>
      </w:pPr>
      <w:r>
        <w:fldChar w:fldCharType="end"/>
      </w:r>
    </w:p>
    <w:p>
      <w:pPr>
        <w:pStyle w:val="109"/>
      </w:pPr>
      <w:r>
        <w:fldChar w:fldCharType="begin"/>
      </w:r>
      <w:r>
        <w:rPr>
          <w:rFonts w:hint="eastAsia"/>
        </w:rPr>
        <w:instrText xml:space="preserve"> \* MERGEFORMAT</w:instrText>
      </w:r>
      <w:r>
        <w:fldChar w:fldCharType="end"/>
      </w:r>
      <w:bookmarkStart w:id="12" w:name="_Toc19192514"/>
      <w:r>
        <w:rPr>
          <w:rFonts w:hint="eastAsia"/>
        </w:rPr>
        <w:t>前</w:t>
      </w:r>
      <w:r>
        <w:rPr>
          <w:rFonts w:hAnsi="黑体"/>
        </w:rPr>
        <w:t>  </w:t>
      </w:r>
      <w:r>
        <w:rPr>
          <w:rFonts w:hint="eastAsia"/>
        </w:rPr>
        <w:t>言</w:t>
      </w:r>
      <w:bookmarkEnd w:id="10"/>
      <w:bookmarkEnd w:id="12"/>
    </w:p>
    <w:p>
      <w:pPr>
        <w:pStyle w:val="22"/>
      </w:pPr>
      <w:r>
        <w:rPr>
          <w:rFonts w:hint="eastAsia"/>
        </w:rPr>
        <w:t>本标准按照GB/T 1.1—20</w:t>
      </w:r>
      <w:r>
        <w:rPr>
          <w:rFonts w:hint="eastAsia"/>
          <w:lang w:val="en-US" w:eastAsia="zh-CN"/>
        </w:rPr>
        <w:t>20</w:t>
      </w:r>
      <w:r>
        <w:rPr>
          <w:rFonts w:hint="eastAsia"/>
        </w:rPr>
        <w:t>给出的规则起草。</w:t>
      </w:r>
    </w:p>
    <w:p>
      <w:pPr>
        <w:pStyle w:val="22"/>
        <w:rPr>
          <w:highlight w:val="none"/>
        </w:rPr>
      </w:pPr>
      <w:r>
        <w:rPr>
          <w:rFonts w:hint="eastAsia"/>
        </w:rPr>
        <w:t>本标准由山东省工业和信息化厅提出</w:t>
      </w:r>
      <w:r>
        <w:rPr>
          <w:rFonts w:hint="eastAsia"/>
          <w:highlight w:val="none"/>
        </w:rPr>
        <w:t>、归口并组织实施。</w:t>
      </w:r>
    </w:p>
    <w:p>
      <w:pPr>
        <w:pStyle w:val="22"/>
      </w:pPr>
      <w:r>
        <w:rPr>
          <w:rFonts w:hint="eastAsia"/>
          <w:highlight w:val="none"/>
        </w:rPr>
        <w:t>本标准起草单位：山东省产品质量检验研究院</w:t>
      </w:r>
      <w:r>
        <w:rPr>
          <w:rFonts w:hint="eastAsia"/>
        </w:rPr>
        <w:t>。</w:t>
      </w:r>
    </w:p>
    <w:p>
      <w:pPr>
        <w:pStyle w:val="22"/>
      </w:pPr>
      <w:r>
        <w:rPr>
          <w:rFonts w:hint="eastAsia"/>
        </w:rPr>
        <w:t>本标准主要起草人：</w:t>
      </w:r>
      <w:r>
        <w:rPr>
          <w:rFonts w:hint="eastAsia"/>
          <w:lang w:val="en-US" w:eastAsia="zh-CN"/>
        </w:rPr>
        <w:t>XXXXX</w:t>
      </w:r>
      <w:r>
        <w:rPr>
          <w:rFonts w:hint="eastAsia"/>
        </w:rPr>
        <w:t>。</w:t>
      </w:r>
    </w:p>
    <w:p>
      <w:pPr>
        <w:pStyle w:val="22"/>
        <w:sectPr>
          <w:headerReference r:id="rId5" w:type="default"/>
          <w:footerReference r:id="rId6" w:type="default"/>
          <w:pgSz w:w="11906" w:h="16838"/>
          <w:pgMar w:top="567" w:right="1134" w:bottom="1134" w:left="1417" w:header="1418" w:footer="1134" w:gutter="0"/>
          <w:pgNumType w:fmt="upperRoman" w:start="1"/>
          <w:cols w:space="425" w:num="1"/>
          <w:formProt w:val="0"/>
          <w:docGrid w:type="lines" w:linePitch="312" w:charSpace="0"/>
        </w:sectPr>
      </w:pPr>
    </w:p>
    <w:p>
      <w:pPr>
        <w:pStyle w:val="47"/>
      </w:pPr>
      <w:sdt>
        <w:sdtPr>
          <w:alias w:val="标准名称"/>
          <w:tag w:val="标准名称"/>
          <w:id w:val="1795105741"/>
          <w:lock w:val="sdtLocked"/>
          <w:placeholder>
            <w:docPart w:val="111"/>
          </w:placeholder>
          <w:text w:multiLine="1"/>
        </w:sdtPr>
        <w:sdtContent>
          <w:r>
            <w:rPr>
              <w:rFonts w:hint="eastAsia"/>
            </w:rPr>
            <w:t>绿色产品评价规范　</w:t>
          </w:r>
          <w:r>
            <w:rPr>
              <w:rFonts w:hint="eastAsia"/>
              <w:lang w:val="en-US" w:eastAsia="zh-CN"/>
            </w:rPr>
            <w:t>商用电蒸箱</w:t>
          </w:r>
        </w:sdtContent>
      </w:sdt>
      <w:bookmarkStart w:id="13" w:name="StandardName"/>
      <w:bookmarkEnd w:id="13"/>
    </w:p>
    <w:p>
      <w:pPr>
        <w:pStyle w:val="42"/>
        <w:spacing w:before="312" w:after="312"/>
      </w:pPr>
      <w:bookmarkStart w:id="14" w:name="_Toc19192515"/>
      <w:bookmarkStart w:id="15" w:name="_Toc17811535"/>
      <w:r>
        <w:rPr>
          <w:rFonts w:hint="eastAsia"/>
        </w:rPr>
        <w:t>范围</w:t>
      </w:r>
      <w:bookmarkEnd w:id="14"/>
      <w:bookmarkEnd w:id="15"/>
    </w:p>
    <w:p>
      <w:pPr>
        <w:pStyle w:val="22"/>
        <w:rPr>
          <w:rFonts w:hint="eastAsia"/>
        </w:rPr>
      </w:pPr>
      <w:r>
        <w:rPr>
          <w:rFonts w:hint="eastAsia"/>
        </w:rPr>
        <w:t xml:space="preserve">本标准规定了商用电蒸箱类绿色产品的基本原则、评价指标和评价方法。 </w:t>
      </w:r>
    </w:p>
    <w:p>
      <w:pPr>
        <w:pStyle w:val="22"/>
        <w:rPr>
          <w:rFonts w:hint="eastAsia"/>
          <w:lang w:val="en-US" w:eastAsia="zh-CN"/>
        </w:rPr>
      </w:pPr>
      <w:r>
        <w:rPr>
          <w:rFonts w:hint="eastAsia"/>
          <w:lang w:val="en-US" w:eastAsia="zh-CN"/>
        </w:rPr>
        <w:t>本标准适用于商用电蒸箱，对于连接一条相线和中线的单相器具，额定电压不超过250V，其他器具不超过480V。</w:t>
      </w:r>
    </w:p>
    <w:p>
      <w:pPr>
        <w:pStyle w:val="22"/>
        <w:rPr>
          <w:rFonts w:hint="eastAsia"/>
          <w:lang w:val="en-US" w:eastAsia="zh-CN"/>
        </w:rPr>
      </w:pPr>
      <w:r>
        <w:rPr>
          <w:rFonts w:hint="eastAsia"/>
          <w:lang w:val="en-US" w:eastAsia="zh-CN"/>
        </w:rPr>
        <w:t>本标准不适用于：</w:t>
      </w:r>
    </w:p>
    <w:p>
      <w:pPr>
        <w:pStyle w:val="22"/>
        <w:rPr>
          <w:rFonts w:hint="eastAsia"/>
          <w:lang w:val="en-US" w:eastAsia="zh-CN"/>
        </w:rPr>
      </w:pPr>
      <w:r>
        <w:rPr>
          <w:rFonts w:hint="eastAsia"/>
          <w:lang w:val="en-US" w:eastAsia="zh-CN"/>
        </w:rPr>
        <w:t xml:space="preserve">  —家庭使用电蒸汽炊具；</w:t>
      </w:r>
    </w:p>
    <w:p>
      <w:pPr>
        <w:pStyle w:val="22"/>
        <w:ind w:firstLine="630" w:firstLineChars="300"/>
        <w:rPr>
          <w:rFonts w:hint="eastAsia"/>
          <w:lang w:val="en-US" w:eastAsia="zh-CN"/>
        </w:rPr>
      </w:pPr>
      <w:r>
        <w:rPr>
          <w:rFonts w:hint="eastAsia"/>
          <w:lang w:val="en-US" w:eastAsia="zh-CN"/>
        </w:rPr>
        <w:t>—烹饪过程不仅直接使用蒸汽接触而且也可以将食物部分或全部浸入液体的器具；</w:t>
      </w:r>
    </w:p>
    <w:p>
      <w:pPr>
        <w:pStyle w:val="22"/>
        <w:ind w:firstLine="630" w:firstLineChars="300"/>
        <w:rPr>
          <w:rFonts w:hint="eastAsia"/>
        </w:rPr>
      </w:pPr>
      <w:r>
        <w:rPr>
          <w:rFonts w:hint="eastAsia"/>
          <w:lang w:val="en-US" w:eastAsia="zh-CN"/>
        </w:rPr>
        <w:t>—供大量生产食品连续作业的器具。</w:t>
      </w:r>
    </w:p>
    <w:p>
      <w:pPr>
        <w:pStyle w:val="42"/>
        <w:spacing w:before="312" w:after="312"/>
      </w:pPr>
      <w:bookmarkStart w:id="16" w:name="_Toc17811536"/>
      <w:bookmarkStart w:id="17" w:name="_Toc19192516"/>
      <w:r>
        <w:rPr>
          <w:rFonts w:hint="eastAsia"/>
        </w:rPr>
        <w:t>规范性引用文件</w:t>
      </w:r>
      <w:bookmarkEnd w:id="16"/>
      <w:bookmarkEnd w:id="17"/>
    </w:p>
    <w:p>
      <w:pPr>
        <w:pStyle w:val="22"/>
      </w:pPr>
      <w:r>
        <w:rPr>
          <w:rFonts w:hint="eastAsia"/>
        </w:rPr>
        <w:t>下列文件对于本文件的应用是必不可少的。凡是注日期的引用文件，仅注日期的版本适用于本文件。凡是不注日期的引用文件，其最新版本（包括所有的修改单）适用于本文件。</w:t>
      </w:r>
    </w:p>
    <w:p>
      <w:pPr>
        <w:pStyle w:val="22"/>
      </w:pPr>
      <w:r>
        <w:rPr>
          <w:rFonts w:hint="eastAsia"/>
        </w:rPr>
        <w:t>GB/T 1019</w:t>
      </w:r>
      <w:r>
        <w:rPr>
          <w:rFonts w:hint="eastAsia"/>
          <w:lang w:val="en-US" w:eastAsia="zh-CN"/>
        </w:rPr>
        <w:t xml:space="preserve"> </w:t>
      </w:r>
      <w:r>
        <w:rPr>
          <w:rFonts w:hint="eastAsia"/>
        </w:rPr>
        <w:t>家用和类似用途电器包装通则</w:t>
      </w:r>
    </w:p>
    <w:p>
      <w:pPr>
        <w:pStyle w:val="22"/>
        <w:rPr>
          <w:rFonts w:hint="eastAsia"/>
        </w:rPr>
      </w:pPr>
      <w:r>
        <w:rPr>
          <w:rFonts w:hint="eastAsia"/>
        </w:rPr>
        <w:t>GB 4343.1 家用电器、电动工具和类似器具的电磁兼容要求 第1部分：发射</w:t>
      </w:r>
    </w:p>
    <w:p>
      <w:pPr>
        <w:pStyle w:val="22"/>
        <w:rPr>
          <w:rFonts w:hint="eastAsia"/>
          <w:lang w:val="en-US" w:eastAsia="zh-CN"/>
        </w:rPr>
      </w:pPr>
      <w:r>
        <w:rPr>
          <w:rFonts w:hint="eastAsia"/>
        </w:rPr>
        <w:t>GB 4343.</w:t>
      </w:r>
      <w:r>
        <w:rPr>
          <w:rFonts w:hint="eastAsia"/>
          <w:lang w:val="en-US" w:eastAsia="zh-CN"/>
        </w:rPr>
        <w:t>2 家用电器、电动工具和类似器具的电磁兼容要求 第2部分：抗扰度</w:t>
      </w:r>
    </w:p>
    <w:p>
      <w:pPr>
        <w:pStyle w:val="22"/>
        <w:rPr>
          <w:rFonts w:hint="eastAsia"/>
        </w:rPr>
      </w:pPr>
      <w:r>
        <w:rPr>
          <w:rFonts w:hint="eastAsia"/>
        </w:rPr>
        <w:t>GB 4706.34 家用和类似用途电器的安全 商用电强制对流烤炉、蒸汽炊具和蒸汽对流炉的特殊要求</w:t>
      </w:r>
    </w:p>
    <w:p>
      <w:pPr>
        <w:pStyle w:val="22"/>
        <w:rPr>
          <w:rFonts w:hint="eastAsia"/>
          <w:lang w:val="en-US" w:eastAsia="zh-CN"/>
        </w:rPr>
      </w:pPr>
      <w:r>
        <w:rPr>
          <w:rFonts w:hint="eastAsia"/>
          <w:lang w:val="en-US" w:eastAsia="zh-CN"/>
        </w:rPr>
        <w:t>GB 4806.3 食品安全国家标准 搪瓷制品</w:t>
      </w:r>
    </w:p>
    <w:p>
      <w:pPr>
        <w:pStyle w:val="22"/>
        <w:rPr>
          <w:rFonts w:hint="eastAsia"/>
          <w:lang w:val="en-US" w:eastAsia="zh-CN"/>
        </w:rPr>
      </w:pPr>
      <w:r>
        <w:rPr>
          <w:rFonts w:hint="eastAsia"/>
          <w:lang w:val="en-US" w:eastAsia="zh-CN"/>
        </w:rPr>
        <w:t>GB 4806.4 食品安全国家标准 陶瓷制品</w:t>
      </w:r>
    </w:p>
    <w:p>
      <w:pPr>
        <w:pStyle w:val="22"/>
        <w:rPr>
          <w:rFonts w:hint="eastAsia"/>
          <w:lang w:val="en-US" w:eastAsia="zh-CN"/>
        </w:rPr>
      </w:pPr>
      <w:r>
        <w:rPr>
          <w:rFonts w:hint="eastAsia"/>
          <w:lang w:val="en-US" w:eastAsia="zh-CN"/>
        </w:rPr>
        <w:t>GB 4806.5 食品安全国家标准 玻璃制品</w:t>
      </w:r>
    </w:p>
    <w:p>
      <w:pPr>
        <w:pStyle w:val="22"/>
        <w:rPr>
          <w:rFonts w:hint="eastAsia"/>
          <w:lang w:val="en-US" w:eastAsia="zh-CN"/>
        </w:rPr>
      </w:pPr>
      <w:r>
        <w:rPr>
          <w:rFonts w:hint="eastAsia"/>
          <w:lang w:val="en-US" w:eastAsia="zh-CN"/>
        </w:rPr>
        <w:t>GB 4806.7 食品安全国家标准 玻璃制品</w:t>
      </w:r>
    </w:p>
    <w:p>
      <w:pPr>
        <w:pStyle w:val="22"/>
        <w:rPr>
          <w:rFonts w:hint="eastAsia"/>
          <w:lang w:val="en-US" w:eastAsia="zh-CN"/>
        </w:rPr>
      </w:pPr>
      <w:r>
        <w:rPr>
          <w:rFonts w:hint="eastAsia"/>
          <w:lang w:val="en-US" w:eastAsia="zh-CN"/>
        </w:rPr>
        <w:t>GB 4806.9 食品安全国家标准 食品接触用金属材料及制品</w:t>
      </w:r>
    </w:p>
    <w:p>
      <w:pPr>
        <w:pStyle w:val="22"/>
        <w:rPr>
          <w:rFonts w:hint="eastAsia"/>
          <w:lang w:val="en-US" w:eastAsia="zh-CN"/>
        </w:rPr>
      </w:pPr>
      <w:r>
        <w:rPr>
          <w:rFonts w:hint="eastAsia"/>
          <w:lang w:val="en-US" w:eastAsia="zh-CN"/>
        </w:rPr>
        <w:t>GB 4806.10 食品安全国家标准 食品接触用涂料及涂层</w:t>
      </w:r>
    </w:p>
    <w:p>
      <w:pPr>
        <w:pStyle w:val="22"/>
        <w:rPr>
          <w:rFonts w:hint="eastAsia"/>
          <w:lang w:val="en-US" w:eastAsia="zh-CN"/>
        </w:rPr>
      </w:pPr>
      <w:r>
        <w:rPr>
          <w:rFonts w:hint="eastAsia"/>
          <w:lang w:val="en-US" w:eastAsia="zh-CN"/>
        </w:rPr>
        <w:t>GB 4806.11 食品安全国家标准 食品接触用橡胶材料及制品</w:t>
      </w:r>
    </w:p>
    <w:p>
      <w:pPr>
        <w:pStyle w:val="22"/>
        <w:rPr>
          <w:rFonts w:hint="eastAsia"/>
          <w:lang w:val="en-US" w:eastAsia="zh-CN"/>
        </w:rPr>
      </w:pPr>
      <w:r>
        <w:rPr>
          <w:rFonts w:hint="eastAsia"/>
          <w:lang w:val="en-US" w:eastAsia="zh-CN"/>
        </w:rPr>
        <w:t>GB 16798-1997 食品机械安全卫生</w:t>
      </w:r>
    </w:p>
    <w:p>
      <w:pPr>
        <w:pStyle w:val="22"/>
        <w:rPr>
          <w:rFonts w:hint="eastAsia"/>
          <w:lang w:val="en-US" w:eastAsia="zh-CN"/>
        </w:rPr>
      </w:pPr>
      <w:r>
        <w:rPr>
          <w:rFonts w:hint="eastAsia"/>
          <w:lang w:val="en-US" w:eastAsia="zh-CN"/>
        </w:rPr>
        <w:t>GB/T 17219 生活饮用水输配水设备及防护材料的安全性评价标准</w:t>
      </w:r>
    </w:p>
    <w:p>
      <w:pPr>
        <w:pStyle w:val="22"/>
        <w:rPr>
          <w:rFonts w:hint="eastAsia"/>
          <w:lang w:val="en-US" w:eastAsia="zh-CN"/>
        </w:rPr>
      </w:pPr>
      <w:r>
        <w:rPr>
          <w:rFonts w:hint="eastAsia"/>
          <w:lang w:val="en-US" w:eastAsia="zh-CN"/>
        </w:rPr>
        <w:t>GB 17625.1 电磁兼容 限值 谐波电流发射限值(设备每相输入电流≤16A)</w:t>
      </w:r>
    </w:p>
    <w:p>
      <w:pPr>
        <w:pStyle w:val="22"/>
        <w:ind w:left="1598" w:leftChars="200" w:hanging="1178" w:hangingChars="561"/>
        <w:rPr>
          <w:rFonts w:hint="eastAsia"/>
          <w:lang w:val="en-US" w:eastAsia="zh-CN"/>
        </w:rPr>
      </w:pPr>
      <w:r>
        <w:rPr>
          <w:rFonts w:hint="eastAsia"/>
          <w:lang w:val="en-US" w:eastAsia="zh-CN"/>
        </w:rPr>
        <w:t>GB 17625.2 电磁兼容 限值 对每相额定电流≤16A且无条件接入的设备在公用低压供电系统中产生的电压变化、电压波动和闪烁的限制</w:t>
      </w:r>
    </w:p>
    <w:p>
      <w:pPr>
        <w:pStyle w:val="22"/>
        <w:rPr>
          <w:rFonts w:hint="eastAsia"/>
        </w:rPr>
      </w:pPr>
      <w:r>
        <w:rPr>
          <w:rFonts w:hint="eastAsia"/>
        </w:rPr>
        <w:t>GB/T 18455</w:t>
      </w:r>
      <w:r>
        <w:rPr>
          <w:rFonts w:hint="eastAsia"/>
          <w:lang w:val="en-US" w:eastAsia="zh-CN"/>
        </w:rPr>
        <w:t xml:space="preserve"> </w:t>
      </w:r>
      <w:r>
        <w:rPr>
          <w:rFonts w:hint="eastAsia"/>
        </w:rPr>
        <w:t>包装回收标志</w:t>
      </w:r>
    </w:p>
    <w:p>
      <w:pPr>
        <w:pStyle w:val="22"/>
        <w:rPr>
          <w:rFonts w:hint="eastAsia"/>
        </w:rPr>
      </w:pPr>
      <w:r>
        <w:rPr>
          <w:rFonts w:hint="eastAsia"/>
        </w:rPr>
        <w:t>GB/T 19001</w:t>
      </w:r>
      <w:r>
        <w:rPr>
          <w:rFonts w:hint="eastAsia"/>
          <w:lang w:val="en-US" w:eastAsia="zh-CN"/>
        </w:rPr>
        <w:t xml:space="preserve"> </w:t>
      </w:r>
      <w:r>
        <w:rPr>
          <w:rFonts w:hint="eastAsia"/>
        </w:rPr>
        <w:t>质量管理体系 要求</w:t>
      </w:r>
    </w:p>
    <w:p>
      <w:pPr>
        <w:pStyle w:val="22"/>
        <w:rPr>
          <w:rFonts w:hint="eastAsia" w:eastAsia="宋体"/>
          <w:lang w:val="en-US" w:eastAsia="zh-CN"/>
        </w:rPr>
      </w:pPr>
      <w:r>
        <w:rPr>
          <w:rFonts w:hint="eastAsia"/>
        </w:rPr>
        <w:t>GB/T 23331</w:t>
      </w:r>
      <w:r>
        <w:rPr>
          <w:rFonts w:hint="eastAsia"/>
          <w:lang w:val="en-US" w:eastAsia="zh-CN"/>
        </w:rPr>
        <w:t xml:space="preserve"> 能源管理体系 要求</w:t>
      </w:r>
    </w:p>
    <w:p>
      <w:pPr>
        <w:pStyle w:val="22"/>
        <w:rPr>
          <w:rFonts w:hint="eastAsia"/>
          <w:lang w:val="en-US" w:eastAsia="zh-CN"/>
        </w:rPr>
      </w:pPr>
      <w:r>
        <w:rPr>
          <w:rFonts w:hint="eastAsia"/>
          <w:lang w:val="en-US" w:eastAsia="zh-CN"/>
        </w:rPr>
        <w:t xml:space="preserve">GB/T 23384 </w:t>
      </w:r>
      <w:r>
        <w:rPr>
          <w:rFonts w:hint="eastAsia"/>
        </w:rPr>
        <w:t>产品及零部件可回收利用标识</w:t>
      </w:r>
    </w:p>
    <w:p>
      <w:pPr>
        <w:pStyle w:val="22"/>
        <w:rPr>
          <w:rFonts w:hint="eastAsia"/>
        </w:rPr>
      </w:pPr>
      <w:r>
        <w:rPr>
          <w:rFonts w:hint="eastAsia"/>
        </w:rPr>
        <w:t>GB/T 24001</w:t>
      </w:r>
      <w:r>
        <w:rPr>
          <w:rFonts w:hint="eastAsia"/>
          <w:lang w:val="en-US" w:eastAsia="zh-CN"/>
        </w:rPr>
        <w:t xml:space="preserve"> </w:t>
      </w:r>
      <w:r>
        <w:rPr>
          <w:rFonts w:hint="eastAsia"/>
        </w:rPr>
        <w:t>环境管理体系 要求及使用指南</w:t>
      </w:r>
    </w:p>
    <w:p>
      <w:pPr>
        <w:pStyle w:val="22"/>
        <w:rPr>
          <w:rFonts w:hint="eastAsia"/>
        </w:rPr>
      </w:pPr>
      <w:r>
        <w:rPr>
          <w:rFonts w:hint="eastAsia"/>
          <w:lang w:val="en-US" w:eastAsia="zh-CN"/>
        </w:rPr>
        <w:t xml:space="preserve">GB/T 26125 </w:t>
      </w:r>
      <w:r>
        <w:rPr>
          <w:rFonts w:hint="eastAsia"/>
        </w:rPr>
        <w:t>电子电气产品 六种限用物质（铅、汞、镉、六价铬、多溴联苯和多溴二苯醚）的测定</w:t>
      </w:r>
    </w:p>
    <w:p>
      <w:pPr>
        <w:pStyle w:val="22"/>
        <w:rPr>
          <w:rFonts w:hint="eastAsia"/>
          <w:lang w:val="en-US" w:eastAsia="zh-CN"/>
        </w:rPr>
      </w:pPr>
      <w:r>
        <w:rPr>
          <w:rFonts w:hint="eastAsia"/>
          <w:lang w:val="en-US" w:eastAsia="zh-CN"/>
        </w:rPr>
        <w:t xml:space="preserve">GB/T 26572 </w:t>
      </w:r>
      <w:r>
        <w:rPr>
          <w:rFonts w:hint="eastAsia"/>
        </w:rPr>
        <w:t>电子电气产品中限用物质的限量要求</w:t>
      </w:r>
    </w:p>
    <w:p>
      <w:pPr>
        <w:pStyle w:val="22"/>
        <w:rPr>
          <w:rFonts w:hint="eastAsia"/>
        </w:rPr>
      </w:pPr>
      <w:r>
        <w:rPr>
          <w:rFonts w:hint="eastAsia"/>
          <w:lang w:val="en-US" w:eastAsia="zh-CN"/>
        </w:rPr>
        <w:t xml:space="preserve">GB/T 31268 </w:t>
      </w:r>
      <w:r>
        <w:rPr>
          <w:rFonts w:hint="eastAsia"/>
        </w:rPr>
        <w:t>限制商品过度包装</w:t>
      </w:r>
    </w:p>
    <w:p>
      <w:pPr>
        <w:pStyle w:val="22"/>
        <w:rPr>
          <w:rFonts w:hint="eastAsia"/>
          <w:lang w:val="en-US" w:eastAsia="zh-CN"/>
        </w:rPr>
      </w:pPr>
      <w:r>
        <w:rPr>
          <w:rFonts w:hint="eastAsia"/>
          <w:lang w:val="en-US" w:eastAsia="zh-CN"/>
        </w:rPr>
        <w:t>GB/T 45001 职业健康安全管理体系 要求及使用指南</w:t>
      </w:r>
    </w:p>
    <w:p>
      <w:pPr>
        <w:pStyle w:val="22"/>
        <w:rPr>
          <w:rFonts w:hint="eastAsia"/>
          <w:lang w:val="en-US" w:eastAsia="zh-CN"/>
        </w:rPr>
      </w:pPr>
      <w:r>
        <w:rPr>
          <w:rFonts w:hint="eastAsia"/>
          <w:lang w:val="en-US" w:eastAsia="zh-CN"/>
        </w:rPr>
        <w:t>QB/T 4099-2010 电饭锅及类似器具</w:t>
      </w:r>
    </w:p>
    <w:p>
      <w:pPr>
        <w:pStyle w:val="22"/>
        <w:rPr>
          <w:rFonts w:hint="eastAsia"/>
          <w:lang w:val="en-US" w:eastAsia="zh-CN"/>
        </w:rPr>
      </w:pPr>
      <w:r>
        <w:rPr>
          <w:rFonts w:hint="eastAsia"/>
          <w:lang w:val="en-US" w:eastAsia="zh-CN"/>
        </w:rPr>
        <w:t>SB/T 228 食品机械通用技术条件 表面涂漆</w:t>
      </w:r>
    </w:p>
    <w:p>
      <w:pPr>
        <w:pStyle w:val="42"/>
        <w:spacing w:before="312" w:after="312"/>
      </w:pPr>
      <w:bookmarkStart w:id="18" w:name="_Toc17811537"/>
      <w:bookmarkEnd w:id="18"/>
      <w:bookmarkStart w:id="19" w:name="_Toc19192517"/>
      <w:r>
        <w:rPr>
          <w:rFonts w:hint="eastAsia"/>
        </w:rPr>
        <w:t>术语和定义</w:t>
      </w:r>
      <w:bookmarkEnd w:id="19"/>
    </w:p>
    <w:p>
      <w:pPr>
        <w:pStyle w:val="22"/>
      </w:pPr>
      <w:r>
        <w:rPr>
          <w:rFonts w:hint="eastAsia"/>
        </w:rPr>
        <w:t>下列术语和定义适用于本文件。</w:t>
      </w:r>
    </w:p>
    <w:p>
      <w:pPr>
        <w:pStyle w:val="39"/>
        <w:spacing w:before="156" w:after="156"/>
        <w:rPr>
          <w:rFonts w:hint="eastAsia"/>
        </w:rPr>
      </w:pPr>
      <w:r>
        <w:rPr>
          <w:rFonts w:hint="eastAsia"/>
        </w:rPr>
        <w:t xml:space="preserve"> </w:t>
      </w:r>
    </w:p>
    <w:p>
      <w:pPr>
        <w:pStyle w:val="22"/>
        <w:rPr>
          <w:rFonts w:hint="eastAsia" w:ascii="黑体" w:hAnsi="黑体" w:eastAsia="黑体"/>
          <w:szCs w:val="22"/>
        </w:rPr>
      </w:pPr>
      <w:r>
        <w:rPr>
          <w:rFonts w:hint="eastAsia" w:ascii="黑体" w:hAnsi="黑体" w:eastAsia="黑体"/>
          <w:szCs w:val="22"/>
        </w:rPr>
        <w:t>蒸汽炊具 steam cooker</w:t>
      </w:r>
    </w:p>
    <w:p>
      <w:pPr>
        <w:pStyle w:val="22"/>
        <w:rPr>
          <w:rFonts w:hint="eastAsia"/>
        </w:rPr>
      </w:pPr>
      <w:r>
        <w:rPr>
          <w:rFonts w:hint="eastAsia"/>
        </w:rPr>
        <w:t>一种打算用于只通过直接蒸汽接触方法来烹制食品的器具，烹饪隔间内的压力能超过大气压力。</w:t>
      </w:r>
    </w:p>
    <w:p>
      <w:pPr>
        <w:pStyle w:val="39"/>
        <w:spacing w:before="156" w:after="156"/>
      </w:pPr>
    </w:p>
    <w:p>
      <w:pPr>
        <w:pStyle w:val="22"/>
      </w:pPr>
      <w:r>
        <w:rPr>
          <w:rFonts w:hint="eastAsia" w:ascii="黑体" w:hAnsi="黑体" w:eastAsia="黑体"/>
        </w:rPr>
        <w:t>绿色产品　green product</w:t>
      </w:r>
    </w:p>
    <w:p>
      <w:pPr>
        <w:pStyle w:val="22"/>
      </w:pPr>
      <w:r>
        <w:rPr>
          <w:rFonts w:hint="eastAsia"/>
        </w:rPr>
        <w:t xml:space="preserve">在全生命周期过程中，符合环境保护要求，对生态环境和人体健康无害或危害小、资源能源消耗少、品质高的产品。 </w:t>
      </w:r>
    </w:p>
    <w:p>
      <w:pPr>
        <w:pStyle w:val="39"/>
        <w:spacing w:before="156" w:after="156"/>
      </w:pPr>
    </w:p>
    <w:p>
      <w:pPr>
        <w:pStyle w:val="22"/>
        <w:rPr>
          <w:rFonts w:ascii="黑体" w:hAnsi="黑体" w:eastAsia="黑体"/>
        </w:rPr>
      </w:pPr>
      <w:r>
        <w:rPr>
          <w:rFonts w:hint="eastAsia" w:ascii="黑体" w:hAnsi="黑体" w:eastAsia="黑体"/>
        </w:rPr>
        <w:t>评价指标基准值　reference value of assessment indicator</w:t>
      </w:r>
    </w:p>
    <w:p>
      <w:pPr>
        <w:pStyle w:val="22"/>
      </w:pPr>
      <w:r>
        <w:rPr>
          <w:rFonts w:hint="eastAsia"/>
        </w:rPr>
        <w:t>为评价绿色产品而设定的指标参照值。</w:t>
      </w:r>
    </w:p>
    <w:p>
      <w:pPr>
        <w:pStyle w:val="42"/>
        <w:spacing w:before="312" w:after="312"/>
      </w:pPr>
      <w:bookmarkStart w:id="20" w:name="_Toc19192518"/>
      <w:r>
        <w:rPr>
          <w:rFonts w:hint="eastAsia"/>
        </w:rPr>
        <w:t>评价要求</w:t>
      </w:r>
      <w:bookmarkEnd w:id="20"/>
    </w:p>
    <w:p>
      <w:pPr>
        <w:pStyle w:val="39"/>
        <w:spacing w:before="156" w:after="156"/>
      </w:pPr>
      <w:r>
        <w:rPr>
          <w:rFonts w:hint="eastAsia"/>
        </w:rPr>
        <w:t>基本要求</w:t>
      </w:r>
    </w:p>
    <w:p>
      <w:pPr>
        <w:pStyle w:val="60"/>
      </w:pPr>
      <w:r>
        <w:rPr>
          <w:rFonts w:hint="eastAsia"/>
        </w:rPr>
        <w:t>产品生产企业的污染物排放状况，应符合国家和地方有关环境法律和法规，达到国家和山东省污染物排放标准以及排污许可证的要求；近三年无重大质量、安全事故和重大环境污染事件。</w:t>
      </w:r>
    </w:p>
    <w:p>
      <w:pPr>
        <w:pStyle w:val="60"/>
      </w:pPr>
      <w:r>
        <w:rPr>
          <w:rFonts w:hint="eastAsia"/>
        </w:rPr>
        <w:t>应建立生产过程中的废弃物回收和再生利用管理要求，确保生产过程中废弃物分类处理，对于列入《国家危害废弃物名录》的危险废弃物应由具有资质的处理机构进行无害化处理。</w:t>
      </w:r>
    </w:p>
    <w:p>
      <w:pPr>
        <w:pStyle w:val="60"/>
      </w:pPr>
      <w:r>
        <w:rPr>
          <w:rFonts w:hint="eastAsia"/>
        </w:rPr>
        <w:t xml:space="preserve">生产企业的管理，应按照GB/T 24001、GB/T 23331、GB/T 19001和GB/T </w:t>
      </w:r>
      <w:r>
        <w:rPr>
          <w:rFonts w:hint="eastAsia"/>
          <w:lang w:val="en-US" w:eastAsia="zh-CN"/>
        </w:rPr>
        <w:t>45001</w:t>
      </w:r>
      <w:r>
        <w:rPr>
          <w:rFonts w:hint="eastAsia"/>
        </w:rPr>
        <w:t>分别建立并运行环境管理体系、能源管理体系、质量管理体系和职业健康安全管理体系。</w:t>
      </w:r>
    </w:p>
    <w:p>
      <w:pPr>
        <w:pStyle w:val="60"/>
      </w:pPr>
      <w:r>
        <w:rPr>
          <w:rFonts w:hint="eastAsia"/>
        </w:rPr>
        <w:t>生产企业应采用国家鼓励的先进技术和工艺，不得使用国家或有关部门发布的淘汰或禁止的技术、工艺、装备及相关物质。</w:t>
      </w:r>
    </w:p>
    <w:p>
      <w:pPr>
        <w:pStyle w:val="60"/>
      </w:pPr>
      <w:r>
        <w:rPr>
          <w:rFonts w:hint="eastAsia"/>
        </w:rPr>
        <w:t>生产企业应开展绿色供应链管理，并建立绿色供应链管理绩效评价机制、程序，确定评价指标和评价方法。生产企业应对产品主要原材料供应方、生产协作方、相关服务方等提出相关质量、环境、能源和安全等方面的管理要求。</w:t>
      </w:r>
    </w:p>
    <w:p>
      <w:pPr>
        <w:pStyle w:val="60"/>
      </w:pPr>
      <w:r>
        <w:rPr>
          <w:rFonts w:hint="eastAsia"/>
        </w:rPr>
        <w:t>生产企业的主要用能设备应满足相关国家能效标准2级及以上，企业不同生产环节（如元部件生产、装配包装、存储运输等）的用能量应当分项计量，用能计量设备应当按照相关规程校准。</w:t>
      </w:r>
    </w:p>
    <w:p>
      <w:pPr>
        <w:pStyle w:val="60"/>
      </w:pPr>
      <w:r>
        <w:rPr>
          <w:rFonts w:hint="eastAsia"/>
        </w:rPr>
        <w:t>产品说明书中应包含产品废弃后的有关循环利用的相关说明要求。生产企业宜通过适当的方式发布产品拆解技术指导信息，信息应便于相关组织获取。</w:t>
      </w:r>
    </w:p>
    <w:p>
      <w:pPr>
        <w:pStyle w:val="39"/>
        <w:spacing w:before="156" w:after="156"/>
      </w:pPr>
      <w:r>
        <w:rPr>
          <w:rFonts w:hint="eastAsia"/>
        </w:rPr>
        <w:t>评价指标要求</w:t>
      </w:r>
    </w:p>
    <w:p>
      <w:pPr>
        <w:pStyle w:val="60"/>
      </w:pPr>
      <w:r>
        <w:rPr>
          <w:rFonts w:hint="eastAsia"/>
        </w:rPr>
        <w:t>产品包装符合GB/T 1019和GB/T 18455的有关要求，提供检测报告或证明材料。</w:t>
      </w:r>
    </w:p>
    <w:p>
      <w:pPr>
        <w:pStyle w:val="60"/>
      </w:pPr>
      <w:r>
        <w:rPr>
          <w:rFonts w:hint="eastAsia"/>
        </w:rPr>
        <w:t>产品安全方面符合GB</w:t>
      </w:r>
      <w:r>
        <w:rPr>
          <w:rFonts w:hint="eastAsia"/>
          <w:lang w:val="en-US" w:eastAsia="zh-CN"/>
        </w:rPr>
        <w:t xml:space="preserve"> 4706.34</w:t>
      </w:r>
      <w:r>
        <w:rPr>
          <w:rFonts w:hint="eastAsia"/>
        </w:rPr>
        <w:t>的要求，提供检测报告。</w:t>
      </w:r>
    </w:p>
    <w:p>
      <w:pPr>
        <w:pStyle w:val="60"/>
      </w:pPr>
      <w:r>
        <w:rPr>
          <w:rFonts w:hint="eastAsia"/>
        </w:rPr>
        <w:t>产品电磁兼容符合GB4343.1、GB4343.2、GB17625.1和GB17625.2的要求，提供检测报告。</w:t>
      </w:r>
    </w:p>
    <w:p>
      <w:pPr>
        <w:pStyle w:val="60"/>
      </w:pPr>
      <w:r>
        <w:rPr>
          <w:rFonts w:hint="eastAsia"/>
        </w:rPr>
        <w:t>特性指标方面，商用电蒸箱的绿色特性评价指标从资源能源消耗，对环境影响</w:t>
      </w:r>
      <w:r>
        <w:rPr>
          <w:rFonts w:hint="eastAsia"/>
          <w:lang w:val="en-US" w:eastAsia="zh-CN"/>
        </w:rPr>
        <w:t>等</w:t>
      </w:r>
      <w:r>
        <w:rPr>
          <w:rFonts w:hint="eastAsia"/>
        </w:rPr>
        <w:t>角度选取，按照资源属性指标、能源属性指标、环境属性指标和品质属性指标</w:t>
      </w:r>
      <w:r>
        <w:rPr>
          <w:rFonts w:hint="eastAsia"/>
          <w:lang w:val="en-US" w:eastAsia="zh-CN"/>
        </w:rPr>
        <w:t>等类</w:t>
      </w:r>
      <w:bookmarkStart w:id="22" w:name="_GoBack"/>
      <w:bookmarkEnd w:id="22"/>
      <w:r>
        <w:rPr>
          <w:rFonts w:hint="eastAsia"/>
          <w:lang w:val="en-US" w:eastAsia="zh-CN"/>
        </w:rPr>
        <w:t>别划分</w:t>
      </w:r>
      <w:r>
        <w:rPr>
          <w:rFonts w:hint="eastAsia"/>
        </w:rPr>
        <w:t>。</w:t>
      </w:r>
      <w:r>
        <w:rPr>
          <w:rFonts w:hint="eastAsia"/>
          <w:lang w:val="en-US" w:eastAsia="zh-CN"/>
        </w:rPr>
        <w:t>商用电蒸箱</w:t>
      </w:r>
      <w:r>
        <w:rPr>
          <w:rFonts w:hint="eastAsia"/>
        </w:rPr>
        <w:t>的评价指标名称、基准值、判定依据等要求见表1。</w:t>
      </w:r>
    </w:p>
    <w:p>
      <w:pPr>
        <w:pStyle w:val="123"/>
        <w:keepNext w:val="0"/>
        <w:keepLines w:val="0"/>
        <w:pageBreakBefore w:val="0"/>
        <w:widowControl/>
        <w:kinsoku/>
        <w:wordWrap/>
        <w:overflowPunct/>
        <w:topLinePunct w:val="0"/>
        <w:autoSpaceDE/>
        <w:autoSpaceDN/>
        <w:bidi w:val="0"/>
        <w:adjustRightInd/>
        <w:snapToGrid/>
        <w:spacing w:before="156" w:after="157" w:afterLines="50"/>
        <w:textAlignment w:val="auto"/>
        <w:outlineLvl w:val="9"/>
      </w:pPr>
      <w:r>
        <w:rPr>
          <w:rFonts w:hint="eastAsia"/>
        </w:rPr>
        <w:t>商用电蒸箱绿色特性评价指标要求</w:t>
      </w:r>
    </w:p>
    <w:tbl>
      <w:tblPr>
        <w:tblStyle w:val="36"/>
        <w:tblW w:w="9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1200"/>
        <w:gridCol w:w="690"/>
        <w:gridCol w:w="3046"/>
        <w:gridCol w:w="3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tblHeader/>
        </w:trPr>
        <w:tc>
          <w:tcPr>
            <w:tcW w:w="108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一级指标</w:t>
            </w:r>
          </w:p>
        </w:tc>
        <w:tc>
          <w:tcPr>
            <w:tcW w:w="1200"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二级指标</w:t>
            </w:r>
          </w:p>
        </w:tc>
        <w:tc>
          <w:tcPr>
            <w:tcW w:w="690" w:type="dxa"/>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基准值</w:t>
            </w:r>
          </w:p>
        </w:tc>
        <w:tc>
          <w:tcPr>
            <w:tcW w:w="332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6" w:hRule="atLeast"/>
        </w:trPr>
        <w:tc>
          <w:tcPr>
            <w:tcW w:w="1082"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资源属性</w:t>
            </w:r>
          </w:p>
        </w:tc>
        <w:tc>
          <w:tcPr>
            <w:tcW w:w="1200"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可回收利用</w:t>
            </w:r>
          </w:p>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 xml:space="preserve">标识 </w:t>
            </w:r>
          </w:p>
        </w:tc>
        <w:tc>
          <w:tcPr>
            <w:tcW w:w="690" w:type="dxa"/>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应符合</w:t>
            </w:r>
            <w:r>
              <w:rPr>
                <w:rFonts w:hint="eastAsia" w:asciiTheme="minorEastAsia" w:hAnsiTheme="minorEastAsia" w:eastAsiaTheme="minorEastAsia"/>
                <w:sz w:val="18"/>
                <w:szCs w:val="18"/>
              </w:rPr>
              <w:t>GB/T 23384的要求</w:t>
            </w:r>
          </w:p>
        </w:tc>
        <w:tc>
          <w:tcPr>
            <w:tcW w:w="3321"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按照</w:t>
            </w:r>
            <w:r>
              <w:rPr>
                <w:rFonts w:hint="eastAsia" w:asciiTheme="minorEastAsia" w:hAnsiTheme="minorEastAsia" w:eastAsiaTheme="minorEastAsia"/>
                <w:sz w:val="18"/>
                <w:szCs w:val="18"/>
              </w:rPr>
              <w:t>GB/T 23384检测，提供检测报告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 xml:space="preserve"> 限制过度包装</w:t>
            </w:r>
          </w:p>
        </w:tc>
        <w:tc>
          <w:tcPr>
            <w:tcW w:w="690" w:type="dxa"/>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应</w:t>
            </w:r>
            <w:r>
              <w:rPr>
                <w:rFonts w:hint="eastAsia" w:asciiTheme="minorEastAsia" w:hAnsiTheme="minorEastAsia" w:eastAsiaTheme="minorEastAsia"/>
                <w:sz w:val="18"/>
                <w:szCs w:val="18"/>
              </w:rPr>
              <w:t>符合GB/T 31268的要求</w:t>
            </w:r>
          </w:p>
        </w:tc>
        <w:tc>
          <w:tcPr>
            <w:tcW w:w="3321"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按照GB/T 31268检测，提供检测报告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5" w:hRule="atLeast"/>
        </w:trPr>
        <w:tc>
          <w:tcPr>
            <w:tcW w:w="108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能源属性</w:t>
            </w:r>
          </w:p>
        </w:tc>
        <w:tc>
          <w:tcPr>
            <w:tcW w:w="1200"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蒸饭性能</w:t>
            </w:r>
          </w:p>
        </w:tc>
        <w:tc>
          <w:tcPr>
            <w:tcW w:w="690" w:type="dxa"/>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min</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满载时蒸箱应在水烧开后≤40min蒸熟米饭</w:t>
            </w:r>
          </w:p>
        </w:tc>
        <w:tc>
          <w:tcPr>
            <w:tcW w:w="3321"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w:t>
            </w:r>
            <w:r>
              <w:rPr>
                <w:rFonts w:hint="eastAsia" w:asciiTheme="minorEastAsia" w:hAnsiTheme="minorEastAsia" w:eastAsiaTheme="minorEastAsia"/>
                <w:sz w:val="18"/>
                <w:szCs w:val="18"/>
                <w:lang w:val="en-US" w:eastAsia="zh-CN"/>
              </w:rPr>
              <w:t>QB/T 4099-2010中6.9</w:t>
            </w:r>
            <w:r>
              <w:rPr>
                <w:rFonts w:hint="eastAsia" w:asciiTheme="minorEastAsia" w:hAnsiTheme="minorEastAsia" w:eastAsiaTheme="minorEastAsia"/>
                <w:sz w:val="18"/>
                <w:szCs w:val="18"/>
              </w:rPr>
              <w:t>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3" w:hRule="atLeast"/>
        </w:trPr>
        <w:tc>
          <w:tcPr>
            <w:tcW w:w="108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环境属性</w:t>
            </w:r>
          </w:p>
        </w:tc>
        <w:tc>
          <w:tcPr>
            <w:tcW w:w="1200" w:type="dxa"/>
            <w:tcBorders>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 xml:space="preserve">产品有害物质含量 </w:t>
            </w:r>
          </w:p>
        </w:tc>
        <w:tc>
          <w:tcPr>
            <w:tcW w:w="690" w:type="dxa"/>
            <w:tcBorders>
              <w:left w:val="single" w:color="auto"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04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应</w:t>
            </w:r>
            <w:r>
              <w:rPr>
                <w:rFonts w:hint="eastAsia" w:asciiTheme="minorEastAsia" w:hAnsiTheme="minorEastAsia" w:eastAsiaTheme="minorEastAsia"/>
                <w:sz w:val="18"/>
                <w:szCs w:val="18"/>
              </w:rPr>
              <w:t xml:space="preserve">符合GB/T </w:t>
            </w:r>
            <w:r>
              <w:rPr>
                <w:rFonts w:hint="eastAsia" w:asciiTheme="minorEastAsia" w:hAnsiTheme="minorEastAsia" w:eastAsiaTheme="minorEastAsia"/>
                <w:sz w:val="18"/>
                <w:szCs w:val="18"/>
                <w:lang w:val="en-US" w:eastAsia="zh-CN"/>
              </w:rPr>
              <w:t>26572</w:t>
            </w:r>
            <w:r>
              <w:rPr>
                <w:rFonts w:hint="eastAsia" w:asciiTheme="minorEastAsia" w:hAnsiTheme="minorEastAsia" w:eastAsiaTheme="minorEastAsia"/>
                <w:sz w:val="18"/>
                <w:szCs w:val="18"/>
              </w:rPr>
              <w:t>的要求</w:t>
            </w:r>
          </w:p>
        </w:tc>
        <w:tc>
          <w:tcPr>
            <w:tcW w:w="332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按照GB/T 26</w:t>
            </w:r>
            <w:r>
              <w:rPr>
                <w:rFonts w:hint="eastAsia" w:asciiTheme="minorEastAsia" w:hAnsiTheme="minorEastAsia" w:eastAsiaTheme="minorEastAsia"/>
                <w:sz w:val="18"/>
                <w:szCs w:val="18"/>
                <w:lang w:val="en-US" w:eastAsia="zh-CN"/>
              </w:rPr>
              <w:t>125</w:t>
            </w:r>
            <w:r>
              <w:rPr>
                <w:rFonts w:hint="eastAsia" w:asciiTheme="minorEastAsia" w:hAnsiTheme="minorEastAsia" w:eastAsiaTheme="minorEastAsia"/>
                <w:sz w:val="18"/>
                <w:szCs w:val="18"/>
              </w:rPr>
              <w:t>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品质属性</w:t>
            </w:r>
          </w:p>
        </w:tc>
        <w:tc>
          <w:tcPr>
            <w:tcW w:w="1200" w:type="dxa"/>
            <w:vMerge w:val="restart"/>
            <w:tcBorders>
              <w:top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食品接触材料要求</w:t>
            </w:r>
          </w:p>
        </w:tc>
        <w:tc>
          <w:tcPr>
            <w:tcW w:w="690" w:type="dxa"/>
            <w:vMerge w:val="restart"/>
            <w:tcBorders>
              <w:top w:val="single" w:color="auto" w:sz="4" w:space="0"/>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食品接触用金属材料及制品</w:t>
            </w:r>
            <w:r>
              <w:rPr>
                <w:rFonts w:hint="eastAsia" w:asciiTheme="minorEastAsia" w:hAnsiTheme="minorEastAsia" w:eastAsiaTheme="minorEastAsia"/>
                <w:sz w:val="18"/>
                <w:szCs w:val="18"/>
                <w:lang w:val="en-US" w:eastAsia="zh-CN"/>
              </w:rPr>
              <w:t>应符合</w:t>
            </w:r>
            <w:r>
              <w:rPr>
                <w:rFonts w:hint="eastAsia" w:asciiTheme="minorEastAsia" w:hAnsiTheme="minorEastAsia" w:eastAsiaTheme="minorEastAsia"/>
                <w:sz w:val="18"/>
                <w:szCs w:val="18"/>
              </w:rPr>
              <w:t>GB4806.9的相关要求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按照GB4806.9检测，提供检测报告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食品接触用搪瓷制品应符合GB4806.3的相关要求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按照GB4806.3检测，提供检测报告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食品接触用陶瓷制品应符合GB4806.4的相关要求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按照GB4806.4检测，提供检测报告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食品接触用玻璃制品应符合GB4806.5的相关要求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按照GB4806.5检测，提供检测报告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食品接触用塑料材料及制品应符合GB4806.7的相关要求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按照GB4806.7检测，提供检测报告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食品接触用橡胶材料及制品应符合GB4806.10的相关要求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按照GB4806.10检测，提供检测报告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vMerge w:val="continue"/>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p>
        </w:tc>
        <w:tc>
          <w:tcPr>
            <w:tcW w:w="69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食品接触用涂料及涂层应符合GB4806.11的相关要求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按照GB4806.11检测，提供检测报告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tcBorders>
              <w:top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表面漆料要求</w:t>
            </w:r>
          </w:p>
        </w:tc>
        <w:tc>
          <w:tcPr>
            <w:tcW w:w="690" w:type="dxa"/>
            <w:tcBorders>
              <w:top w:val="single" w:color="auto" w:sz="4" w:space="0"/>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表面喷涂漆料应符合SB/T 228的相关要求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w:t>
            </w:r>
            <w:r>
              <w:rPr>
                <w:rFonts w:hint="eastAsia" w:asciiTheme="minorEastAsia" w:hAnsiTheme="minorEastAsia" w:eastAsiaTheme="minorEastAsia"/>
                <w:sz w:val="18"/>
                <w:szCs w:val="18"/>
                <w:lang w:val="en-US" w:eastAsia="zh-CN"/>
              </w:rPr>
              <w:t>SB/T</w:t>
            </w:r>
            <w:r>
              <w:rPr>
                <w:rFonts w:hint="eastAsia" w:asciiTheme="minorEastAsia" w:hAnsiTheme="minorEastAsia" w:eastAsiaTheme="minorEastAsia"/>
                <w:sz w:val="18"/>
                <w:szCs w:val="18"/>
              </w:rPr>
              <w:t xml:space="preserve"> 2</w:t>
            </w:r>
            <w:r>
              <w:rPr>
                <w:rFonts w:hint="eastAsia" w:asciiTheme="minorEastAsia" w:hAnsiTheme="minorEastAsia" w:eastAsiaTheme="minorEastAsia"/>
                <w:sz w:val="18"/>
                <w:szCs w:val="18"/>
                <w:lang w:val="en-US" w:eastAsia="zh-CN"/>
              </w:rPr>
              <w:t>28</w:t>
            </w:r>
            <w:r>
              <w:rPr>
                <w:rFonts w:hint="eastAsia" w:asciiTheme="minorEastAsia" w:hAnsiTheme="minorEastAsia" w:eastAsiaTheme="minorEastAsia"/>
                <w:sz w:val="18"/>
                <w:szCs w:val="18"/>
              </w:rPr>
              <w:t>检测，提供检测报告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5"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tcBorders>
              <w:top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防污设计</w:t>
            </w:r>
          </w:p>
        </w:tc>
        <w:tc>
          <w:tcPr>
            <w:tcW w:w="690" w:type="dxa"/>
            <w:tcBorders>
              <w:top w:val="single" w:color="auto" w:sz="4" w:space="0"/>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tc>
        <w:tc>
          <w:tcPr>
            <w:tcW w:w="304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安全卫生及可洗净性应符合</w:t>
            </w:r>
            <w:r>
              <w:rPr>
                <w:rFonts w:hint="eastAsia" w:asciiTheme="minorEastAsia" w:hAnsiTheme="minorEastAsia" w:eastAsiaTheme="minorEastAsia"/>
                <w:sz w:val="18"/>
                <w:szCs w:val="18"/>
              </w:rPr>
              <w:t>GB16798</w:t>
            </w:r>
            <w:r>
              <w:rPr>
                <w:rFonts w:hint="eastAsia" w:asciiTheme="minorEastAsia" w:hAnsiTheme="minorEastAsia" w:eastAsiaTheme="minorEastAsia"/>
                <w:sz w:val="18"/>
                <w:szCs w:val="18"/>
                <w:lang w:val="en-US" w:eastAsia="zh-CN"/>
              </w:rPr>
              <w:t xml:space="preserve"> -1997中5.1、5.2、6.1</w:t>
            </w:r>
            <w:r>
              <w:rPr>
                <w:rFonts w:hint="eastAsia" w:asciiTheme="minorAscii" w:hAnsiTheme="minorEastAsia" w:eastAsiaTheme="minorEastAsia"/>
                <w:sz w:val="18"/>
                <w:szCs w:val="18"/>
                <w:lang w:val="en-US" w:eastAsia="zh-CN"/>
              </w:rPr>
              <w:t>~</w:t>
            </w:r>
            <w:r>
              <w:rPr>
                <w:rFonts w:hint="eastAsia" w:asciiTheme="minorEastAsia" w:hAnsiTheme="minorEastAsia" w:eastAsiaTheme="minorEastAsia"/>
                <w:sz w:val="18"/>
                <w:szCs w:val="18"/>
                <w:lang w:val="en-US" w:eastAsia="zh-CN"/>
              </w:rPr>
              <w:t>6.3的相关要求</w:t>
            </w:r>
          </w:p>
        </w:tc>
        <w:tc>
          <w:tcPr>
            <w:tcW w:w="332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rPr>
              <w:t>按照</w:t>
            </w:r>
            <w:r>
              <w:rPr>
                <w:rFonts w:hint="eastAsia" w:asciiTheme="minorEastAsia" w:hAnsiTheme="minorEastAsia" w:eastAsiaTheme="minorEastAsia"/>
                <w:sz w:val="18"/>
                <w:szCs w:val="18"/>
                <w:lang w:val="en-US" w:eastAsia="zh-CN"/>
              </w:rPr>
              <w:t>GB 16798-1997</w:t>
            </w:r>
            <w:r>
              <w:rPr>
                <w:rFonts w:hint="eastAsia" w:asciiTheme="minorEastAsia" w:hAnsiTheme="minorEastAsia" w:eastAsiaTheme="minorEastAsia"/>
                <w:sz w:val="18"/>
                <w:szCs w:val="18"/>
              </w:rPr>
              <w:t>检测，提供检测报告</w:t>
            </w:r>
            <w:r>
              <w:rPr>
                <w:rFonts w:hint="eastAsia" w:asciiTheme="minorEastAsia" w:hAnsiTheme="minorEastAsia" w:eastAsiaTheme="minorEastAsia"/>
                <w:sz w:val="18"/>
                <w:szCs w:val="18"/>
                <w:lang w:val="en-US" w:eastAsia="zh-CN"/>
              </w:rPr>
              <w:t>或视检样品确定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1" w:hRule="atLeast"/>
        </w:trPr>
        <w:tc>
          <w:tcPr>
            <w:tcW w:w="1082"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rPr>
            </w:pPr>
          </w:p>
        </w:tc>
        <w:tc>
          <w:tcPr>
            <w:tcW w:w="1200" w:type="dxa"/>
            <w:tcBorders>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ind w:left="-99" w:leftChars="-47" w:right="-115" w:rightChars="-55" w:firstLine="0" w:firstLineChars="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水卫生性能</w:t>
            </w:r>
          </w:p>
        </w:tc>
        <w:tc>
          <w:tcPr>
            <w:tcW w:w="690" w:type="dxa"/>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应符合GB/T 17219的相关要求</w:t>
            </w:r>
          </w:p>
        </w:tc>
        <w:tc>
          <w:tcPr>
            <w:tcW w:w="3321" w:type="dxa"/>
            <w:vAlign w:val="center"/>
          </w:tcPr>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按照GB/T 17219检测，提供检测报告</w:t>
            </w:r>
          </w:p>
        </w:tc>
      </w:tr>
    </w:tbl>
    <w:p>
      <w:pPr>
        <w:pStyle w:val="61"/>
        <w:rPr>
          <w:rFonts w:hint="eastAsia"/>
        </w:rPr>
      </w:pPr>
      <w:r>
        <w:rPr>
          <w:rFonts w:hint="eastAsia"/>
        </w:rPr>
        <w:t>不同指标所依据标准相同时，可出具一份检测报告，相关基准值应以本标准表1为准。</w:t>
      </w:r>
    </w:p>
    <w:p>
      <w:pPr>
        <w:pStyle w:val="42"/>
        <w:spacing w:before="312" w:after="312"/>
      </w:pPr>
      <w:bookmarkStart w:id="21" w:name="_Toc19192519"/>
      <w:r>
        <w:rPr>
          <w:rFonts w:hint="eastAsia"/>
        </w:rPr>
        <w:t>评价方法</w:t>
      </w:r>
      <w:bookmarkEnd w:id="21"/>
    </w:p>
    <w:p>
      <w:pPr>
        <w:pStyle w:val="22"/>
      </w:pPr>
      <w:r>
        <w:rPr>
          <w:rFonts w:hint="eastAsia"/>
        </w:rPr>
        <w:t>本标准采用指标符合性评价的方法。绿色产品应同时满足基本要求和评价指标要求。</w:t>
      </w:r>
    </w:p>
    <w:p>
      <w:pPr>
        <w:pStyle w:val="22"/>
      </w:pPr>
    </w:p>
    <w:p>
      <w:pPr>
        <w:pStyle w:val="126"/>
      </w:pPr>
      <w:r>
        <w:t>_________________________________</w:t>
      </w:r>
    </w:p>
    <w:sectPr>
      <w:pgSz w:w="11906" w:h="16838"/>
      <w:pgMar w:top="567" w:right="1134" w:bottom="1134" w:left="1417"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fldChar w:fldCharType="begin"/>
    </w:r>
    <w:r>
      <w:instrText xml:space="preserve"> PAGE  \* MERGEFORMAT </w:instrText>
    </w:r>
    <w:r>
      <w:fldChar w:fldCharType="separate"/>
    </w:r>
    <w: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t>DB 37/T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eastAsia="黑体"/>
        <w:lang w:val="en-US" w:eastAsia="zh-CN"/>
      </w:rPr>
    </w:pPr>
    <w:r>
      <w:t xml:space="preserve">DB 37/T </w:t>
    </w:r>
    <w:r>
      <w:rPr>
        <w:rFonts w:hint="eastAsia"/>
        <w:lang w:val="en-US" w:eastAsia="zh-CN"/>
      </w:rPr>
      <w:t>XXXX</w:t>
    </w:r>
    <w:r>
      <w:t>—</w:t>
    </w:r>
    <w:r>
      <w:rPr>
        <w:rFonts w:hint="eastAsia"/>
        <w:lang w:val="en-US" w:eastAsia="zh-CN"/>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52887"/>
    <w:multiLevelType w:val="multilevel"/>
    <w:tmpl w:val="0A952887"/>
    <w:lvl w:ilvl="0" w:tentative="0">
      <w:start w:val="1"/>
      <w:numFmt w:val="decimal"/>
      <w:pStyle w:val="62"/>
      <w:suff w:val="nothing"/>
      <w:lvlText w:val="注%1："/>
      <w:lvlJc w:val="left"/>
      <w:pPr>
        <w:ind w:left="0" w:firstLine="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
    <w:nsid w:val="0F805D97"/>
    <w:multiLevelType w:val="multilevel"/>
    <w:tmpl w:val="0F805D97"/>
    <w:lvl w:ilvl="0" w:tentative="0">
      <w:start w:val="1"/>
      <w:numFmt w:val="none"/>
      <w:pStyle w:val="54"/>
      <w:suff w:val="nothing"/>
      <w:lvlText w:val="注%1："/>
      <w:lvlJc w:val="left"/>
      <w:pPr>
        <w:ind w:left="0" w:firstLine="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
    <w:nsid w:val="1FC91163"/>
    <w:multiLevelType w:val="multilevel"/>
    <w:tmpl w:val="1FC91163"/>
    <w:lvl w:ilvl="0" w:tentative="0">
      <w:start w:val="1"/>
      <w:numFmt w:val="decimal"/>
      <w:pStyle w:val="42"/>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43"/>
      <w:suff w:val="nothing"/>
      <w:lvlText w:val="%1.%2.%3　"/>
      <w:lvlJc w:val="left"/>
      <w:pPr>
        <w:ind w:left="0" w:firstLine="0"/>
      </w:pPr>
      <w:rPr>
        <w:rFonts w:hint="eastAsia" w:ascii="黑体" w:hAnsi="Times New Roman" w:eastAsia="黑体"/>
        <w:b w:val="0"/>
        <w:i w:val="0"/>
        <w:sz w:val="21"/>
      </w:rPr>
    </w:lvl>
    <w:lvl w:ilvl="3" w:tentative="0">
      <w:start w:val="1"/>
      <w:numFmt w:val="decimal"/>
      <w:pStyle w:val="48"/>
      <w:suff w:val="nothing"/>
      <w:lvlText w:val="%1.%2.%3.%4　"/>
      <w:lvlJc w:val="left"/>
      <w:pPr>
        <w:ind w:left="0" w:firstLine="0"/>
      </w:pPr>
      <w:rPr>
        <w:rFonts w:hint="eastAsia" w:ascii="黑体" w:hAnsi="Times New Roman" w:eastAsia="黑体"/>
        <w:b w:val="0"/>
        <w:i w:val="0"/>
        <w:sz w:val="21"/>
      </w:rPr>
    </w:lvl>
    <w:lvl w:ilvl="4" w:tentative="0">
      <w:start w:val="1"/>
      <w:numFmt w:val="decimal"/>
      <w:pStyle w:val="52"/>
      <w:suff w:val="nothing"/>
      <w:lvlText w:val="%1.%2.%3.%4.%5　"/>
      <w:lvlJc w:val="left"/>
      <w:pPr>
        <w:ind w:left="0" w:firstLine="0"/>
      </w:pPr>
      <w:rPr>
        <w:rFonts w:hint="eastAsia" w:ascii="黑体" w:hAnsi="Times New Roman" w:eastAsia="黑体"/>
        <w:b w:val="0"/>
        <w:i w:val="0"/>
        <w:sz w:val="21"/>
      </w:rPr>
    </w:lvl>
    <w:lvl w:ilvl="5" w:tentative="0">
      <w:start w:val="1"/>
      <w:numFmt w:val="decimal"/>
      <w:pStyle w:val="5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24B435DB"/>
    <w:multiLevelType w:val="multilevel"/>
    <w:tmpl w:val="24B435DB"/>
    <w:lvl w:ilvl="0" w:tentative="0">
      <w:start w:val="1"/>
      <w:numFmt w:val="lowerLetter"/>
      <w:pStyle w:val="118"/>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29707437"/>
    <w:multiLevelType w:val="multilevel"/>
    <w:tmpl w:val="29707437"/>
    <w:lvl w:ilvl="0" w:tentative="0">
      <w:start w:val="1"/>
      <w:numFmt w:val="none"/>
      <w:pStyle w:val="61"/>
      <w:suff w:val="nothing"/>
      <w:lvlText w:val="%1注："/>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2A8F7113"/>
    <w:multiLevelType w:val="multilevel"/>
    <w:tmpl w:val="2A8F7113"/>
    <w:lvl w:ilvl="0" w:tentative="0">
      <w:start w:val="1"/>
      <w:numFmt w:val="upperLetter"/>
      <w:pStyle w:val="95"/>
      <w:suff w:val="space"/>
      <w:lvlText w:val="%1"/>
      <w:lvlJc w:val="left"/>
      <w:pPr>
        <w:ind w:left="623" w:hanging="425"/>
      </w:pPr>
      <w:rPr>
        <w:rFonts w:hint="eastAsia"/>
      </w:rPr>
    </w:lvl>
    <w:lvl w:ilvl="1" w:tentative="0">
      <w:start w:val="1"/>
      <w:numFmt w:val="decimal"/>
      <w:pStyle w:val="96"/>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6">
    <w:nsid w:val="2C5917C3"/>
    <w:multiLevelType w:val="multilevel"/>
    <w:tmpl w:val="2C5917C3"/>
    <w:lvl w:ilvl="0" w:tentative="0">
      <w:start w:val="1"/>
      <w:numFmt w:val="none"/>
      <w:pStyle w:val="45"/>
      <w:suff w:val="nothing"/>
      <w:lvlText w:val="%1——"/>
      <w:lvlJc w:val="left"/>
      <w:pPr>
        <w:ind w:left="833" w:hanging="408"/>
      </w:pPr>
      <w:rPr>
        <w:rFonts w:hint="eastAsia"/>
      </w:rPr>
    </w:lvl>
    <w:lvl w:ilvl="1" w:tentative="0">
      <w:start w:val="1"/>
      <w:numFmt w:val="bullet"/>
      <w:pStyle w:val="46"/>
      <w:lvlText w:val=""/>
      <w:lvlJc w:val="left"/>
      <w:pPr>
        <w:tabs>
          <w:tab w:val="left" w:pos="760"/>
        </w:tabs>
        <w:ind w:left="1264" w:hanging="413"/>
      </w:pPr>
      <w:rPr>
        <w:rFonts w:hint="default" w:ascii="Symbol" w:hAnsi="Symbol"/>
        <w:color w:val="auto"/>
      </w:rPr>
    </w:lvl>
    <w:lvl w:ilvl="2" w:tentative="0">
      <w:start w:val="1"/>
      <w:numFmt w:val="bullet"/>
      <w:pStyle w:val="5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7">
    <w:nsid w:val="3D733618"/>
    <w:multiLevelType w:val="multilevel"/>
    <w:tmpl w:val="3D733618"/>
    <w:lvl w:ilvl="0" w:tentative="0">
      <w:start w:val="1"/>
      <w:numFmt w:val="decimal"/>
      <w:pStyle w:val="23"/>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8">
    <w:nsid w:val="44C50F90"/>
    <w:multiLevelType w:val="multilevel"/>
    <w:tmpl w:val="44C50F90"/>
    <w:lvl w:ilvl="0" w:tentative="0">
      <w:start w:val="1"/>
      <w:numFmt w:val="lowerLetter"/>
      <w:pStyle w:val="56"/>
      <w:lvlText w:val="%1)"/>
      <w:lvlJc w:val="left"/>
      <w:pPr>
        <w:tabs>
          <w:tab w:val="left" w:pos="840"/>
        </w:tabs>
        <w:ind w:left="839" w:hanging="419"/>
      </w:pPr>
      <w:rPr>
        <w:rFonts w:hint="eastAsia" w:ascii="宋体" w:eastAsia="宋体"/>
        <w:b w:val="0"/>
        <w:i w:val="0"/>
        <w:sz w:val="21"/>
        <w:szCs w:val="21"/>
      </w:rPr>
    </w:lvl>
    <w:lvl w:ilvl="1" w:tentative="0">
      <w:start w:val="1"/>
      <w:numFmt w:val="decimal"/>
      <w:pStyle w:val="51"/>
      <w:lvlText w:val="%2)"/>
      <w:lvlJc w:val="left"/>
      <w:pPr>
        <w:tabs>
          <w:tab w:val="left" w:pos="1260"/>
        </w:tabs>
        <w:ind w:left="1259" w:hanging="419"/>
      </w:pPr>
      <w:rPr>
        <w:rFonts w:hint="eastAsia"/>
      </w:rPr>
    </w:lvl>
    <w:lvl w:ilvl="2" w:tentative="0">
      <w:start w:val="1"/>
      <w:numFmt w:val="decimal"/>
      <w:pStyle w:val="58"/>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520F62E9"/>
    <w:multiLevelType w:val="multilevel"/>
    <w:tmpl w:val="520F62E9"/>
    <w:lvl w:ilvl="0" w:tentative="0">
      <w:start w:val="1"/>
      <w:numFmt w:val="decimal"/>
      <w:pStyle w:val="125"/>
      <w:suff w:val="nothing"/>
      <w:lvlText w:val="图%1　"/>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5E63562F"/>
    <w:multiLevelType w:val="multilevel"/>
    <w:tmpl w:val="5E63562F"/>
    <w:lvl w:ilvl="0" w:tentative="0">
      <w:start w:val="1"/>
      <w:numFmt w:val="decimal"/>
      <w:pStyle w:val="55"/>
      <w:suff w:val="nothing"/>
      <w:lvlText w:val="注%1："/>
      <w:lvlJc w:val="left"/>
      <w:pPr>
        <w:ind w:left="0" w:firstLine="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1">
    <w:nsid w:val="60B55DC2"/>
    <w:multiLevelType w:val="multilevel"/>
    <w:tmpl w:val="60B55DC2"/>
    <w:lvl w:ilvl="0" w:tentative="0">
      <w:start w:val="1"/>
      <w:numFmt w:val="upperLetter"/>
      <w:pStyle w:val="83"/>
      <w:lvlText w:val="%1"/>
      <w:lvlJc w:val="left"/>
      <w:pPr>
        <w:tabs>
          <w:tab w:val="left" w:pos="0"/>
        </w:tabs>
        <w:ind w:left="0" w:hanging="425"/>
      </w:pPr>
      <w:rPr>
        <w:rFonts w:hint="eastAsia"/>
      </w:rPr>
    </w:lvl>
    <w:lvl w:ilvl="1" w:tentative="0">
      <w:start w:val="1"/>
      <w:numFmt w:val="decimal"/>
      <w:pStyle w:val="8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2">
    <w:nsid w:val="63404DBE"/>
    <w:multiLevelType w:val="multilevel"/>
    <w:tmpl w:val="63404DBE"/>
    <w:lvl w:ilvl="0" w:tentative="0">
      <w:start w:val="1"/>
      <w:numFmt w:val="none"/>
      <w:pStyle w:val="49"/>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3">
    <w:nsid w:val="63AF7EBF"/>
    <w:multiLevelType w:val="multilevel"/>
    <w:tmpl w:val="63AF7EBF"/>
    <w:lvl w:ilvl="0" w:tentative="0">
      <w:start w:val="1"/>
      <w:numFmt w:val="decimal"/>
      <w:pStyle w:val="123"/>
      <w:suff w:val="nothing"/>
      <w:lvlText w:val="表%1　"/>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657D3FBC"/>
    <w:multiLevelType w:val="multilevel"/>
    <w:tmpl w:val="657D3FBC"/>
    <w:lvl w:ilvl="0" w:tentative="0">
      <w:start w:val="1"/>
      <w:numFmt w:val="upperLetter"/>
      <w:pStyle w:val="81"/>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9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0"/>
      <w:suff w:val="nothing"/>
      <w:lvlText w:val="%1.%2.%3　"/>
      <w:lvlJc w:val="left"/>
      <w:pPr>
        <w:ind w:left="0" w:firstLine="0"/>
      </w:pPr>
      <w:rPr>
        <w:rFonts w:hint="eastAsia" w:ascii="黑体" w:hAnsi="Times New Roman" w:eastAsia="黑体"/>
        <w:b w:val="0"/>
        <w:i w:val="0"/>
        <w:sz w:val="21"/>
      </w:rPr>
    </w:lvl>
    <w:lvl w:ilvl="3" w:tentative="0">
      <w:start w:val="1"/>
      <w:numFmt w:val="decimal"/>
      <w:pStyle w:val="85"/>
      <w:suff w:val="nothing"/>
      <w:lvlText w:val="%1.%2.%3.%4　"/>
      <w:lvlJc w:val="left"/>
      <w:pPr>
        <w:ind w:left="0" w:firstLine="0"/>
      </w:pPr>
      <w:rPr>
        <w:rFonts w:hint="eastAsia" w:ascii="黑体" w:hAnsi="Times New Roman" w:eastAsia="黑体"/>
        <w:b w:val="0"/>
        <w:i w:val="0"/>
        <w:sz w:val="21"/>
      </w:rPr>
    </w:lvl>
    <w:lvl w:ilvl="4" w:tentative="0">
      <w:start w:val="1"/>
      <w:numFmt w:val="decimal"/>
      <w:pStyle w:val="90"/>
      <w:suff w:val="nothing"/>
      <w:lvlText w:val="%1.%2.%3.%4.%5　"/>
      <w:lvlJc w:val="left"/>
      <w:pPr>
        <w:ind w:left="0" w:firstLine="0"/>
      </w:pPr>
      <w:rPr>
        <w:rFonts w:hint="eastAsia" w:ascii="黑体" w:hAnsi="Times New Roman" w:eastAsia="黑体"/>
        <w:b w:val="0"/>
        <w:i w:val="0"/>
        <w:sz w:val="21"/>
      </w:rPr>
    </w:lvl>
    <w:lvl w:ilvl="5" w:tentative="0">
      <w:start w:val="1"/>
      <w:numFmt w:val="decimal"/>
      <w:pStyle w:val="93"/>
      <w:suff w:val="nothing"/>
      <w:lvlText w:val="%1.%2.%3.%4.%5.%6　"/>
      <w:lvlJc w:val="left"/>
      <w:pPr>
        <w:ind w:left="0" w:firstLine="0"/>
      </w:pPr>
      <w:rPr>
        <w:rFonts w:hint="eastAsia" w:ascii="黑体" w:hAnsi="Times New Roman" w:eastAsia="黑体"/>
        <w:b w:val="0"/>
        <w:i w:val="0"/>
        <w:sz w:val="21"/>
      </w:rPr>
    </w:lvl>
    <w:lvl w:ilvl="6" w:tentative="0">
      <w:start w:val="1"/>
      <w:numFmt w:val="decimal"/>
      <w:pStyle w:val="9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AB870ED"/>
    <w:multiLevelType w:val="multilevel"/>
    <w:tmpl w:val="6AB870ED"/>
    <w:lvl w:ilvl="0" w:tentative="0">
      <w:start w:val="1"/>
      <w:numFmt w:val="decimal"/>
      <w:pStyle w:val="59"/>
      <w:suff w:val="nothing"/>
      <w:lvlText w:val="示例%1："/>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6">
    <w:nsid w:val="6D6C07CD"/>
    <w:multiLevelType w:val="multilevel"/>
    <w:tmpl w:val="6D6C07CD"/>
    <w:lvl w:ilvl="0" w:tentative="0">
      <w:start w:val="1"/>
      <w:numFmt w:val="lowerLetter"/>
      <w:pStyle w:val="102"/>
      <w:lvlText w:val="%1)"/>
      <w:lvlJc w:val="left"/>
      <w:pPr>
        <w:tabs>
          <w:tab w:val="left" w:pos="839"/>
        </w:tabs>
        <w:ind w:left="839" w:hanging="419"/>
      </w:pPr>
      <w:rPr>
        <w:rFonts w:hint="eastAsia" w:ascii="宋体" w:eastAsia="宋体"/>
        <w:b w:val="0"/>
        <w:i w:val="0"/>
        <w:sz w:val="21"/>
      </w:rPr>
    </w:lvl>
    <w:lvl w:ilvl="1" w:tentative="0">
      <w:start w:val="1"/>
      <w:numFmt w:val="decimal"/>
      <w:pStyle w:val="9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7"/>
  </w:num>
  <w:num w:numId="2">
    <w:abstractNumId w:val="2"/>
  </w:num>
  <w:num w:numId="3">
    <w:abstractNumId w:val="6"/>
  </w:num>
  <w:num w:numId="4">
    <w:abstractNumId w:val="12"/>
  </w:num>
  <w:num w:numId="5">
    <w:abstractNumId w:val="8"/>
  </w:num>
  <w:num w:numId="6">
    <w:abstractNumId w:val="1"/>
  </w:num>
  <w:num w:numId="7">
    <w:abstractNumId w:val="10"/>
  </w:num>
  <w:num w:numId="8">
    <w:abstractNumId w:val="15"/>
  </w:num>
  <w:num w:numId="9">
    <w:abstractNumId w:val="4"/>
  </w:num>
  <w:num w:numId="10">
    <w:abstractNumId w:val="0"/>
  </w:num>
  <w:num w:numId="11">
    <w:abstractNumId w:val="14"/>
  </w:num>
  <w:num w:numId="12">
    <w:abstractNumId w:val="11"/>
  </w:num>
  <w:num w:numId="13">
    <w:abstractNumId w:val="16"/>
  </w:num>
  <w:num w:numId="14">
    <w:abstractNumId w:val="5"/>
  </w:num>
  <w:num w:numId="15">
    <w:abstractNumId w:val="3"/>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44"/>
    <w:rsid w:val="00000BB3"/>
    <w:rsid w:val="0000185F"/>
    <w:rsid w:val="00004B91"/>
    <w:rsid w:val="00004E32"/>
    <w:rsid w:val="0000586F"/>
    <w:rsid w:val="00013D86"/>
    <w:rsid w:val="00013E02"/>
    <w:rsid w:val="00015A45"/>
    <w:rsid w:val="0002143C"/>
    <w:rsid w:val="00025A65"/>
    <w:rsid w:val="00026C31"/>
    <w:rsid w:val="00027280"/>
    <w:rsid w:val="000320A7"/>
    <w:rsid w:val="000325EA"/>
    <w:rsid w:val="00035925"/>
    <w:rsid w:val="00036C2C"/>
    <w:rsid w:val="00045A7C"/>
    <w:rsid w:val="00055371"/>
    <w:rsid w:val="00056A24"/>
    <w:rsid w:val="00057CE5"/>
    <w:rsid w:val="000607A3"/>
    <w:rsid w:val="000657F7"/>
    <w:rsid w:val="00067CDF"/>
    <w:rsid w:val="00074FBE"/>
    <w:rsid w:val="0007762A"/>
    <w:rsid w:val="00081F6E"/>
    <w:rsid w:val="00083A09"/>
    <w:rsid w:val="0009005E"/>
    <w:rsid w:val="000918A9"/>
    <w:rsid w:val="00092001"/>
    <w:rsid w:val="00092618"/>
    <w:rsid w:val="00092857"/>
    <w:rsid w:val="00092BD8"/>
    <w:rsid w:val="000964C7"/>
    <w:rsid w:val="000979D9"/>
    <w:rsid w:val="000A20A9"/>
    <w:rsid w:val="000A48B1"/>
    <w:rsid w:val="000B2F0E"/>
    <w:rsid w:val="000B3143"/>
    <w:rsid w:val="000B405D"/>
    <w:rsid w:val="000C2BE6"/>
    <w:rsid w:val="000C6B05"/>
    <w:rsid w:val="000C6DD6"/>
    <w:rsid w:val="000C73D4"/>
    <w:rsid w:val="000D3D4C"/>
    <w:rsid w:val="000D4F51"/>
    <w:rsid w:val="000D718B"/>
    <w:rsid w:val="000E0C46"/>
    <w:rsid w:val="000E15EE"/>
    <w:rsid w:val="000F030C"/>
    <w:rsid w:val="000F129C"/>
    <w:rsid w:val="000F174F"/>
    <w:rsid w:val="00104E29"/>
    <w:rsid w:val="001056DE"/>
    <w:rsid w:val="001124C0"/>
    <w:rsid w:val="00117A25"/>
    <w:rsid w:val="00121293"/>
    <w:rsid w:val="0013175F"/>
    <w:rsid w:val="0013364D"/>
    <w:rsid w:val="001343BB"/>
    <w:rsid w:val="001512B4"/>
    <w:rsid w:val="00153A26"/>
    <w:rsid w:val="001620A5"/>
    <w:rsid w:val="00164E53"/>
    <w:rsid w:val="00165D35"/>
    <w:rsid w:val="0016699D"/>
    <w:rsid w:val="001670D9"/>
    <w:rsid w:val="00175159"/>
    <w:rsid w:val="00175AD7"/>
    <w:rsid w:val="00176208"/>
    <w:rsid w:val="0017780C"/>
    <w:rsid w:val="001813B2"/>
    <w:rsid w:val="0018211B"/>
    <w:rsid w:val="00183FE1"/>
    <w:rsid w:val="001840D3"/>
    <w:rsid w:val="00184782"/>
    <w:rsid w:val="00187A8A"/>
    <w:rsid w:val="001900F8"/>
    <w:rsid w:val="00191258"/>
    <w:rsid w:val="00192680"/>
    <w:rsid w:val="00193037"/>
    <w:rsid w:val="00193375"/>
    <w:rsid w:val="00193A2C"/>
    <w:rsid w:val="001A288E"/>
    <w:rsid w:val="001B05B1"/>
    <w:rsid w:val="001B36ED"/>
    <w:rsid w:val="001B6DC2"/>
    <w:rsid w:val="001B754B"/>
    <w:rsid w:val="001C149C"/>
    <w:rsid w:val="001C21AC"/>
    <w:rsid w:val="001C3689"/>
    <w:rsid w:val="001C47BA"/>
    <w:rsid w:val="001C4D58"/>
    <w:rsid w:val="001C59EA"/>
    <w:rsid w:val="001D3556"/>
    <w:rsid w:val="001D406C"/>
    <w:rsid w:val="001D41EE"/>
    <w:rsid w:val="001D4BEB"/>
    <w:rsid w:val="001D71E6"/>
    <w:rsid w:val="001E0380"/>
    <w:rsid w:val="001E0B1B"/>
    <w:rsid w:val="001E13B1"/>
    <w:rsid w:val="001E2153"/>
    <w:rsid w:val="001F3A19"/>
    <w:rsid w:val="002009E4"/>
    <w:rsid w:val="00201053"/>
    <w:rsid w:val="0020251B"/>
    <w:rsid w:val="002073D3"/>
    <w:rsid w:val="00215D48"/>
    <w:rsid w:val="0021624B"/>
    <w:rsid w:val="00217ABB"/>
    <w:rsid w:val="0022185E"/>
    <w:rsid w:val="00227FED"/>
    <w:rsid w:val="0023030A"/>
    <w:rsid w:val="00230F08"/>
    <w:rsid w:val="00234467"/>
    <w:rsid w:val="00235BE6"/>
    <w:rsid w:val="00237D8D"/>
    <w:rsid w:val="00241DA2"/>
    <w:rsid w:val="00247FEE"/>
    <w:rsid w:val="00250E7D"/>
    <w:rsid w:val="002523DB"/>
    <w:rsid w:val="002527DD"/>
    <w:rsid w:val="00252DAA"/>
    <w:rsid w:val="002565D5"/>
    <w:rsid w:val="00256BA7"/>
    <w:rsid w:val="002622C0"/>
    <w:rsid w:val="002778AE"/>
    <w:rsid w:val="0028269A"/>
    <w:rsid w:val="00283590"/>
    <w:rsid w:val="00286973"/>
    <w:rsid w:val="00287674"/>
    <w:rsid w:val="002938A4"/>
    <w:rsid w:val="00294E70"/>
    <w:rsid w:val="002954B8"/>
    <w:rsid w:val="002967B2"/>
    <w:rsid w:val="002A1924"/>
    <w:rsid w:val="002A7420"/>
    <w:rsid w:val="002A7A7E"/>
    <w:rsid w:val="002B0F12"/>
    <w:rsid w:val="002B1308"/>
    <w:rsid w:val="002B4554"/>
    <w:rsid w:val="002B707C"/>
    <w:rsid w:val="002C72D8"/>
    <w:rsid w:val="002D11FA"/>
    <w:rsid w:val="002D17BC"/>
    <w:rsid w:val="002D19A4"/>
    <w:rsid w:val="002D6352"/>
    <w:rsid w:val="002E0DDF"/>
    <w:rsid w:val="002E12BB"/>
    <w:rsid w:val="002E2906"/>
    <w:rsid w:val="002E5635"/>
    <w:rsid w:val="002E64C3"/>
    <w:rsid w:val="002E6A2C"/>
    <w:rsid w:val="002F035E"/>
    <w:rsid w:val="002F0FE8"/>
    <w:rsid w:val="002F1D8C"/>
    <w:rsid w:val="002F21DA"/>
    <w:rsid w:val="002F34B8"/>
    <w:rsid w:val="00301F39"/>
    <w:rsid w:val="00303D27"/>
    <w:rsid w:val="00305BEE"/>
    <w:rsid w:val="00313962"/>
    <w:rsid w:val="00320155"/>
    <w:rsid w:val="003234E0"/>
    <w:rsid w:val="00325926"/>
    <w:rsid w:val="00327A8A"/>
    <w:rsid w:val="003339A3"/>
    <w:rsid w:val="00336610"/>
    <w:rsid w:val="00341F5C"/>
    <w:rsid w:val="00343D23"/>
    <w:rsid w:val="00343F73"/>
    <w:rsid w:val="00345060"/>
    <w:rsid w:val="003451FB"/>
    <w:rsid w:val="00352629"/>
    <w:rsid w:val="0035323B"/>
    <w:rsid w:val="00353D19"/>
    <w:rsid w:val="0035785A"/>
    <w:rsid w:val="003609D2"/>
    <w:rsid w:val="00363F22"/>
    <w:rsid w:val="00364940"/>
    <w:rsid w:val="00375564"/>
    <w:rsid w:val="00376489"/>
    <w:rsid w:val="00383191"/>
    <w:rsid w:val="00386DED"/>
    <w:rsid w:val="003912E7"/>
    <w:rsid w:val="00391987"/>
    <w:rsid w:val="00393947"/>
    <w:rsid w:val="00395141"/>
    <w:rsid w:val="003A0E27"/>
    <w:rsid w:val="003A2275"/>
    <w:rsid w:val="003A6A4F"/>
    <w:rsid w:val="003A7088"/>
    <w:rsid w:val="003B00DF"/>
    <w:rsid w:val="003B1275"/>
    <w:rsid w:val="003B1778"/>
    <w:rsid w:val="003C11CB"/>
    <w:rsid w:val="003C3017"/>
    <w:rsid w:val="003C6A77"/>
    <w:rsid w:val="003C75F3"/>
    <w:rsid w:val="003C78A3"/>
    <w:rsid w:val="003D36AB"/>
    <w:rsid w:val="003E1867"/>
    <w:rsid w:val="003E5729"/>
    <w:rsid w:val="003E724E"/>
    <w:rsid w:val="003F1D40"/>
    <w:rsid w:val="003F22BB"/>
    <w:rsid w:val="003F2A5B"/>
    <w:rsid w:val="003F4EE0"/>
    <w:rsid w:val="003F5559"/>
    <w:rsid w:val="003F7775"/>
    <w:rsid w:val="00400473"/>
    <w:rsid w:val="00402153"/>
    <w:rsid w:val="00402E26"/>
    <w:rsid w:val="00402FC1"/>
    <w:rsid w:val="004200D9"/>
    <w:rsid w:val="00425082"/>
    <w:rsid w:val="00431DEB"/>
    <w:rsid w:val="0044259D"/>
    <w:rsid w:val="004439D9"/>
    <w:rsid w:val="00446B29"/>
    <w:rsid w:val="004524BE"/>
    <w:rsid w:val="00453F9A"/>
    <w:rsid w:val="00454CC3"/>
    <w:rsid w:val="00464903"/>
    <w:rsid w:val="00471E91"/>
    <w:rsid w:val="00474079"/>
    <w:rsid w:val="00474675"/>
    <w:rsid w:val="0047470C"/>
    <w:rsid w:val="00475E84"/>
    <w:rsid w:val="00484C88"/>
    <w:rsid w:val="004A203E"/>
    <w:rsid w:val="004A35F9"/>
    <w:rsid w:val="004A4662"/>
    <w:rsid w:val="004A7E02"/>
    <w:rsid w:val="004B157A"/>
    <w:rsid w:val="004B24C1"/>
    <w:rsid w:val="004B3092"/>
    <w:rsid w:val="004B49B1"/>
    <w:rsid w:val="004B557C"/>
    <w:rsid w:val="004C292F"/>
    <w:rsid w:val="004C657F"/>
    <w:rsid w:val="004D306F"/>
    <w:rsid w:val="004D4B02"/>
    <w:rsid w:val="004D4F76"/>
    <w:rsid w:val="004E4B13"/>
    <w:rsid w:val="004E4B8C"/>
    <w:rsid w:val="004E5A47"/>
    <w:rsid w:val="005036E2"/>
    <w:rsid w:val="00510280"/>
    <w:rsid w:val="00513D73"/>
    <w:rsid w:val="005148B3"/>
    <w:rsid w:val="00514A43"/>
    <w:rsid w:val="00515E9C"/>
    <w:rsid w:val="005174E5"/>
    <w:rsid w:val="00520898"/>
    <w:rsid w:val="00522393"/>
    <w:rsid w:val="00522620"/>
    <w:rsid w:val="00525656"/>
    <w:rsid w:val="00525662"/>
    <w:rsid w:val="00525BF3"/>
    <w:rsid w:val="00534C02"/>
    <w:rsid w:val="0054044C"/>
    <w:rsid w:val="0054264B"/>
    <w:rsid w:val="00543786"/>
    <w:rsid w:val="00545A49"/>
    <w:rsid w:val="005463CC"/>
    <w:rsid w:val="00546D0D"/>
    <w:rsid w:val="0055153A"/>
    <w:rsid w:val="005533D7"/>
    <w:rsid w:val="00554B63"/>
    <w:rsid w:val="00562CF6"/>
    <w:rsid w:val="0056484A"/>
    <w:rsid w:val="0056544B"/>
    <w:rsid w:val="00567177"/>
    <w:rsid w:val="005703DE"/>
    <w:rsid w:val="005710BC"/>
    <w:rsid w:val="005755F1"/>
    <w:rsid w:val="00582BBE"/>
    <w:rsid w:val="0058464E"/>
    <w:rsid w:val="0058650E"/>
    <w:rsid w:val="005A01CB"/>
    <w:rsid w:val="005A19A9"/>
    <w:rsid w:val="005A58FF"/>
    <w:rsid w:val="005A5EAF"/>
    <w:rsid w:val="005A6491"/>
    <w:rsid w:val="005A64C0"/>
    <w:rsid w:val="005B180B"/>
    <w:rsid w:val="005B1985"/>
    <w:rsid w:val="005B3C11"/>
    <w:rsid w:val="005C1C28"/>
    <w:rsid w:val="005C43D0"/>
    <w:rsid w:val="005C6DB5"/>
    <w:rsid w:val="005D3842"/>
    <w:rsid w:val="005E19E7"/>
    <w:rsid w:val="005E2392"/>
    <w:rsid w:val="00601622"/>
    <w:rsid w:val="0060789B"/>
    <w:rsid w:val="0061037E"/>
    <w:rsid w:val="00613FAA"/>
    <w:rsid w:val="00616C36"/>
    <w:rsid w:val="0061716C"/>
    <w:rsid w:val="006171AF"/>
    <w:rsid w:val="00617868"/>
    <w:rsid w:val="006243A1"/>
    <w:rsid w:val="00626005"/>
    <w:rsid w:val="00632E56"/>
    <w:rsid w:val="00635CBA"/>
    <w:rsid w:val="00636EFC"/>
    <w:rsid w:val="0064338B"/>
    <w:rsid w:val="00646542"/>
    <w:rsid w:val="006504F4"/>
    <w:rsid w:val="0065366F"/>
    <w:rsid w:val="00654BC9"/>
    <w:rsid w:val="006552FD"/>
    <w:rsid w:val="00656F0B"/>
    <w:rsid w:val="00663733"/>
    <w:rsid w:val="00663AF3"/>
    <w:rsid w:val="00666B6C"/>
    <w:rsid w:val="00677B54"/>
    <w:rsid w:val="00682682"/>
    <w:rsid w:val="00682702"/>
    <w:rsid w:val="00692368"/>
    <w:rsid w:val="00695192"/>
    <w:rsid w:val="006A2EBC"/>
    <w:rsid w:val="006A5EA0"/>
    <w:rsid w:val="006A783B"/>
    <w:rsid w:val="006A7B33"/>
    <w:rsid w:val="006B497F"/>
    <w:rsid w:val="006B4E13"/>
    <w:rsid w:val="006B75DD"/>
    <w:rsid w:val="006C047C"/>
    <w:rsid w:val="006C3D8B"/>
    <w:rsid w:val="006C67E0"/>
    <w:rsid w:val="006C7ABA"/>
    <w:rsid w:val="006D0A13"/>
    <w:rsid w:val="006D0D60"/>
    <w:rsid w:val="006D1122"/>
    <w:rsid w:val="006D317E"/>
    <w:rsid w:val="006D3B1E"/>
    <w:rsid w:val="006D3C00"/>
    <w:rsid w:val="006E06AD"/>
    <w:rsid w:val="006E3675"/>
    <w:rsid w:val="006E4A7F"/>
    <w:rsid w:val="006F0967"/>
    <w:rsid w:val="006F2274"/>
    <w:rsid w:val="006F64A0"/>
    <w:rsid w:val="0070038F"/>
    <w:rsid w:val="007027B1"/>
    <w:rsid w:val="0070286C"/>
    <w:rsid w:val="00704DF6"/>
    <w:rsid w:val="0070641D"/>
    <w:rsid w:val="0070651C"/>
    <w:rsid w:val="007132A3"/>
    <w:rsid w:val="00716421"/>
    <w:rsid w:val="00721419"/>
    <w:rsid w:val="00724EFB"/>
    <w:rsid w:val="00726575"/>
    <w:rsid w:val="00730310"/>
    <w:rsid w:val="00740A49"/>
    <w:rsid w:val="007419C3"/>
    <w:rsid w:val="00746559"/>
    <w:rsid w:val="007467A7"/>
    <w:rsid w:val="007469DD"/>
    <w:rsid w:val="0074741B"/>
    <w:rsid w:val="0074759E"/>
    <w:rsid w:val="007478EA"/>
    <w:rsid w:val="0075415C"/>
    <w:rsid w:val="00757097"/>
    <w:rsid w:val="007606CB"/>
    <w:rsid w:val="00761E8B"/>
    <w:rsid w:val="00763502"/>
    <w:rsid w:val="00780DE2"/>
    <w:rsid w:val="007913AB"/>
    <w:rsid w:val="007914F7"/>
    <w:rsid w:val="00795C73"/>
    <w:rsid w:val="007A4809"/>
    <w:rsid w:val="007B1625"/>
    <w:rsid w:val="007B706E"/>
    <w:rsid w:val="007B71EB"/>
    <w:rsid w:val="007C0748"/>
    <w:rsid w:val="007C2BB7"/>
    <w:rsid w:val="007C6205"/>
    <w:rsid w:val="007C686A"/>
    <w:rsid w:val="007C728E"/>
    <w:rsid w:val="007D0BE0"/>
    <w:rsid w:val="007D204F"/>
    <w:rsid w:val="007D2C53"/>
    <w:rsid w:val="007D3D60"/>
    <w:rsid w:val="007D5425"/>
    <w:rsid w:val="007E1980"/>
    <w:rsid w:val="007E4B76"/>
    <w:rsid w:val="007E5043"/>
    <w:rsid w:val="007E5EA8"/>
    <w:rsid w:val="007F0CF1"/>
    <w:rsid w:val="007F12A5"/>
    <w:rsid w:val="007F2D74"/>
    <w:rsid w:val="007F3FB7"/>
    <w:rsid w:val="007F4CF1"/>
    <w:rsid w:val="007F758D"/>
    <w:rsid w:val="007F7D52"/>
    <w:rsid w:val="0080484A"/>
    <w:rsid w:val="00805589"/>
    <w:rsid w:val="008057A5"/>
    <w:rsid w:val="00805E2F"/>
    <w:rsid w:val="0080654C"/>
    <w:rsid w:val="008071C6"/>
    <w:rsid w:val="00817A00"/>
    <w:rsid w:val="00820B95"/>
    <w:rsid w:val="00825891"/>
    <w:rsid w:val="00830694"/>
    <w:rsid w:val="00831631"/>
    <w:rsid w:val="0083228D"/>
    <w:rsid w:val="00833D07"/>
    <w:rsid w:val="00835DB3"/>
    <w:rsid w:val="0083617B"/>
    <w:rsid w:val="00836342"/>
    <w:rsid w:val="00836A2D"/>
    <w:rsid w:val="008371BD"/>
    <w:rsid w:val="00840EBF"/>
    <w:rsid w:val="008504A8"/>
    <w:rsid w:val="00851B58"/>
    <w:rsid w:val="0085282E"/>
    <w:rsid w:val="0087198C"/>
    <w:rsid w:val="00872C1F"/>
    <w:rsid w:val="00873B42"/>
    <w:rsid w:val="00877CB0"/>
    <w:rsid w:val="008805AC"/>
    <w:rsid w:val="00880D1A"/>
    <w:rsid w:val="00884468"/>
    <w:rsid w:val="008856D8"/>
    <w:rsid w:val="00892E82"/>
    <w:rsid w:val="00893277"/>
    <w:rsid w:val="00895FA9"/>
    <w:rsid w:val="008A1035"/>
    <w:rsid w:val="008A6E08"/>
    <w:rsid w:val="008C0BE9"/>
    <w:rsid w:val="008C1B58"/>
    <w:rsid w:val="008C39AE"/>
    <w:rsid w:val="008C40DF"/>
    <w:rsid w:val="008C590D"/>
    <w:rsid w:val="008D447E"/>
    <w:rsid w:val="008D7566"/>
    <w:rsid w:val="008E031B"/>
    <w:rsid w:val="008E0560"/>
    <w:rsid w:val="008E2D8C"/>
    <w:rsid w:val="008E7029"/>
    <w:rsid w:val="008E7EF6"/>
    <w:rsid w:val="008F1F98"/>
    <w:rsid w:val="008F2340"/>
    <w:rsid w:val="008F2790"/>
    <w:rsid w:val="008F6758"/>
    <w:rsid w:val="009040DD"/>
    <w:rsid w:val="00905B47"/>
    <w:rsid w:val="0090690F"/>
    <w:rsid w:val="00911391"/>
    <w:rsid w:val="0091331C"/>
    <w:rsid w:val="009137BD"/>
    <w:rsid w:val="0091503D"/>
    <w:rsid w:val="009279DE"/>
    <w:rsid w:val="00927AB9"/>
    <w:rsid w:val="00927B37"/>
    <w:rsid w:val="00930116"/>
    <w:rsid w:val="00930625"/>
    <w:rsid w:val="00941082"/>
    <w:rsid w:val="0094212C"/>
    <w:rsid w:val="00944853"/>
    <w:rsid w:val="0094609D"/>
    <w:rsid w:val="0095378C"/>
    <w:rsid w:val="00954689"/>
    <w:rsid w:val="0095472A"/>
    <w:rsid w:val="0096085A"/>
    <w:rsid w:val="009617C9"/>
    <w:rsid w:val="00961C93"/>
    <w:rsid w:val="00962B4E"/>
    <w:rsid w:val="00965324"/>
    <w:rsid w:val="0097091E"/>
    <w:rsid w:val="009760D3"/>
    <w:rsid w:val="00977132"/>
    <w:rsid w:val="00981A4B"/>
    <w:rsid w:val="00982250"/>
    <w:rsid w:val="00982501"/>
    <w:rsid w:val="00983D33"/>
    <w:rsid w:val="00984358"/>
    <w:rsid w:val="009877D3"/>
    <w:rsid w:val="00994E8F"/>
    <w:rsid w:val="009951DC"/>
    <w:rsid w:val="009959BB"/>
    <w:rsid w:val="00997158"/>
    <w:rsid w:val="009A0827"/>
    <w:rsid w:val="009A3A7C"/>
    <w:rsid w:val="009A5D33"/>
    <w:rsid w:val="009A7D84"/>
    <w:rsid w:val="009B2323"/>
    <w:rsid w:val="009B2ADB"/>
    <w:rsid w:val="009B603A"/>
    <w:rsid w:val="009C2D0E"/>
    <w:rsid w:val="009C3DAC"/>
    <w:rsid w:val="009C42E0"/>
    <w:rsid w:val="009D3230"/>
    <w:rsid w:val="009D5362"/>
    <w:rsid w:val="009E1415"/>
    <w:rsid w:val="009E6116"/>
    <w:rsid w:val="009E7E25"/>
    <w:rsid w:val="00A02E43"/>
    <w:rsid w:val="00A05368"/>
    <w:rsid w:val="00A065F9"/>
    <w:rsid w:val="00A07011"/>
    <w:rsid w:val="00A07F34"/>
    <w:rsid w:val="00A22154"/>
    <w:rsid w:val="00A24058"/>
    <w:rsid w:val="00A25C38"/>
    <w:rsid w:val="00A35824"/>
    <w:rsid w:val="00A36BBE"/>
    <w:rsid w:val="00A36F06"/>
    <w:rsid w:val="00A37C20"/>
    <w:rsid w:val="00A40D9E"/>
    <w:rsid w:val="00A41DF7"/>
    <w:rsid w:val="00A420B1"/>
    <w:rsid w:val="00A42ECA"/>
    <w:rsid w:val="00A4307A"/>
    <w:rsid w:val="00A46DEF"/>
    <w:rsid w:val="00A47EBB"/>
    <w:rsid w:val="00A51CDD"/>
    <w:rsid w:val="00A563F8"/>
    <w:rsid w:val="00A56BBA"/>
    <w:rsid w:val="00A6730D"/>
    <w:rsid w:val="00A707A9"/>
    <w:rsid w:val="00A71625"/>
    <w:rsid w:val="00A71B9B"/>
    <w:rsid w:val="00A751C7"/>
    <w:rsid w:val="00A80008"/>
    <w:rsid w:val="00A84CE5"/>
    <w:rsid w:val="00A87844"/>
    <w:rsid w:val="00A9227B"/>
    <w:rsid w:val="00A97A55"/>
    <w:rsid w:val="00AA038C"/>
    <w:rsid w:val="00AA7A09"/>
    <w:rsid w:val="00AB3B50"/>
    <w:rsid w:val="00AC05B1"/>
    <w:rsid w:val="00AC450C"/>
    <w:rsid w:val="00AD340B"/>
    <w:rsid w:val="00AD356C"/>
    <w:rsid w:val="00AE2914"/>
    <w:rsid w:val="00AE6D15"/>
    <w:rsid w:val="00AE7023"/>
    <w:rsid w:val="00AE78AA"/>
    <w:rsid w:val="00AF0EF3"/>
    <w:rsid w:val="00AF1F49"/>
    <w:rsid w:val="00AF2D81"/>
    <w:rsid w:val="00B04182"/>
    <w:rsid w:val="00B05ECF"/>
    <w:rsid w:val="00B07AE3"/>
    <w:rsid w:val="00B11430"/>
    <w:rsid w:val="00B12A5D"/>
    <w:rsid w:val="00B242F4"/>
    <w:rsid w:val="00B2477A"/>
    <w:rsid w:val="00B24D1C"/>
    <w:rsid w:val="00B30072"/>
    <w:rsid w:val="00B30481"/>
    <w:rsid w:val="00B3312F"/>
    <w:rsid w:val="00B353EB"/>
    <w:rsid w:val="00B4016F"/>
    <w:rsid w:val="00B407AC"/>
    <w:rsid w:val="00B439C4"/>
    <w:rsid w:val="00B4535E"/>
    <w:rsid w:val="00B52A8C"/>
    <w:rsid w:val="00B54707"/>
    <w:rsid w:val="00B56155"/>
    <w:rsid w:val="00B619E6"/>
    <w:rsid w:val="00B62F11"/>
    <w:rsid w:val="00B63042"/>
    <w:rsid w:val="00B636A8"/>
    <w:rsid w:val="00B665C6"/>
    <w:rsid w:val="00B72AD8"/>
    <w:rsid w:val="00B74441"/>
    <w:rsid w:val="00B758A5"/>
    <w:rsid w:val="00B805AF"/>
    <w:rsid w:val="00B82BD5"/>
    <w:rsid w:val="00B869EC"/>
    <w:rsid w:val="00B871EC"/>
    <w:rsid w:val="00B92383"/>
    <w:rsid w:val="00B9397A"/>
    <w:rsid w:val="00B9633D"/>
    <w:rsid w:val="00B967D5"/>
    <w:rsid w:val="00BA2EBE"/>
    <w:rsid w:val="00BB0F28"/>
    <w:rsid w:val="00BB458A"/>
    <w:rsid w:val="00BB693F"/>
    <w:rsid w:val="00BB6C11"/>
    <w:rsid w:val="00BC5953"/>
    <w:rsid w:val="00BD00D3"/>
    <w:rsid w:val="00BD1659"/>
    <w:rsid w:val="00BD3AA9"/>
    <w:rsid w:val="00BD4A18"/>
    <w:rsid w:val="00BD6DB2"/>
    <w:rsid w:val="00BD73A1"/>
    <w:rsid w:val="00BE11CF"/>
    <w:rsid w:val="00BE1AF8"/>
    <w:rsid w:val="00BE21AB"/>
    <w:rsid w:val="00BE55CB"/>
    <w:rsid w:val="00BE7067"/>
    <w:rsid w:val="00BF3BB2"/>
    <w:rsid w:val="00BF5650"/>
    <w:rsid w:val="00BF617A"/>
    <w:rsid w:val="00C0379D"/>
    <w:rsid w:val="00C03931"/>
    <w:rsid w:val="00C05FE3"/>
    <w:rsid w:val="00C11DA9"/>
    <w:rsid w:val="00C2136D"/>
    <w:rsid w:val="00C214EE"/>
    <w:rsid w:val="00C2314B"/>
    <w:rsid w:val="00C244A0"/>
    <w:rsid w:val="00C24971"/>
    <w:rsid w:val="00C25355"/>
    <w:rsid w:val="00C26BE5"/>
    <w:rsid w:val="00C26E4D"/>
    <w:rsid w:val="00C27909"/>
    <w:rsid w:val="00C27B03"/>
    <w:rsid w:val="00C314E1"/>
    <w:rsid w:val="00C34397"/>
    <w:rsid w:val="00C40503"/>
    <w:rsid w:val="00C4095D"/>
    <w:rsid w:val="00C57A9C"/>
    <w:rsid w:val="00C601D2"/>
    <w:rsid w:val="00C65BCC"/>
    <w:rsid w:val="00C66970"/>
    <w:rsid w:val="00C71F4D"/>
    <w:rsid w:val="00C8691C"/>
    <w:rsid w:val="00C86CB4"/>
    <w:rsid w:val="00C96295"/>
    <w:rsid w:val="00C96364"/>
    <w:rsid w:val="00CA03DF"/>
    <w:rsid w:val="00CA168A"/>
    <w:rsid w:val="00CA2097"/>
    <w:rsid w:val="00CA357E"/>
    <w:rsid w:val="00CA44F9"/>
    <w:rsid w:val="00CA4A69"/>
    <w:rsid w:val="00CB722E"/>
    <w:rsid w:val="00CC3E0C"/>
    <w:rsid w:val="00CC58D3"/>
    <w:rsid w:val="00CC784D"/>
    <w:rsid w:val="00CF1E15"/>
    <w:rsid w:val="00D00A8D"/>
    <w:rsid w:val="00D02908"/>
    <w:rsid w:val="00D03268"/>
    <w:rsid w:val="00D0337B"/>
    <w:rsid w:val="00D07777"/>
    <w:rsid w:val="00D079B2"/>
    <w:rsid w:val="00D114E9"/>
    <w:rsid w:val="00D15071"/>
    <w:rsid w:val="00D17CD8"/>
    <w:rsid w:val="00D2527C"/>
    <w:rsid w:val="00D313B3"/>
    <w:rsid w:val="00D35B8E"/>
    <w:rsid w:val="00D40F07"/>
    <w:rsid w:val="00D429C6"/>
    <w:rsid w:val="00D47748"/>
    <w:rsid w:val="00D5178F"/>
    <w:rsid w:val="00D518DF"/>
    <w:rsid w:val="00D54CC3"/>
    <w:rsid w:val="00D6041A"/>
    <w:rsid w:val="00D61258"/>
    <w:rsid w:val="00D633EB"/>
    <w:rsid w:val="00D736AC"/>
    <w:rsid w:val="00D747AA"/>
    <w:rsid w:val="00D75A7E"/>
    <w:rsid w:val="00D82FF7"/>
    <w:rsid w:val="00D84271"/>
    <w:rsid w:val="00D847FE"/>
    <w:rsid w:val="00D86B9C"/>
    <w:rsid w:val="00D900CD"/>
    <w:rsid w:val="00D90A39"/>
    <w:rsid w:val="00D964EA"/>
    <w:rsid w:val="00D966D0"/>
    <w:rsid w:val="00DA0C59"/>
    <w:rsid w:val="00DA3991"/>
    <w:rsid w:val="00DA72A1"/>
    <w:rsid w:val="00DA7F95"/>
    <w:rsid w:val="00DB01F1"/>
    <w:rsid w:val="00DB3222"/>
    <w:rsid w:val="00DB7E6C"/>
    <w:rsid w:val="00DC228D"/>
    <w:rsid w:val="00DC4F68"/>
    <w:rsid w:val="00DC64B0"/>
    <w:rsid w:val="00DC6B1E"/>
    <w:rsid w:val="00DD252A"/>
    <w:rsid w:val="00DD5949"/>
    <w:rsid w:val="00DD5A29"/>
    <w:rsid w:val="00DD5D9D"/>
    <w:rsid w:val="00DE35CB"/>
    <w:rsid w:val="00DF0EF0"/>
    <w:rsid w:val="00DF21E9"/>
    <w:rsid w:val="00DF22C7"/>
    <w:rsid w:val="00DF5588"/>
    <w:rsid w:val="00DF5CC9"/>
    <w:rsid w:val="00E005D3"/>
    <w:rsid w:val="00E00F14"/>
    <w:rsid w:val="00E01CB8"/>
    <w:rsid w:val="00E06386"/>
    <w:rsid w:val="00E075C5"/>
    <w:rsid w:val="00E1051A"/>
    <w:rsid w:val="00E111F3"/>
    <w:rsid w:val="00E11668"/>
    <w:rsid w:val="00E118E7"/>
    <w:rsid w:val="00E122B7"/>
    <w:rsid w:val="00E21B55"/>
    <w:rsid w:val="00E221D3"/>
    <w:rsid w:val="00E24EB4"/>
    <w:rsid w:val="00E30635"/>
    <w:rsid w:val="00E320ED"/>
    <w:rsid w:val="00E33AFB"/>
    <w:rsid w:val="00E34218"/>
    <w:rsid w:val="00E4555B"/>
    <w:rsid w:val="00E46282"/>
    <w:rsid w:val="00E5216E"/>
    <w:rsid w:val="00E5529C"/>
    <w:rsid w:val="00E657C6"/>
    <w:rsid w:val="00E75D40"/>
    <w:rsid w:val="00E81965"/>
    <w:rsid w:val="00E81A88"/>
    <w:rsid w:val="00E82344"/>
    <w:rsid w:val="00E84C82"/>
    <w:rsid w:val="00E84D64"/>
    <w:rsid w:val="00E87408"/>
    <w:rsid w:val="00E914C4"/>
    <w:rsid w:val="00E924AB"/>
    <w:rsid w:val="00E934F5"/>
    <w:rsid w:val="00E96961"/>
    <w:rsid w:val="00EA72EC"/>
    <w:rsid w:val="00EB11CB"/>
    <w:rsid w:val="00EB1C71"/>
    <w:rsid w:val="00EB275A"/>
    <w:rsid w:val="00EB57CA"/>
    <w:rsid w:val="00EB786A"/>
    <w:rsid w:val="00EC1578"/>
    <w:rsid w:val="00EC1BFC"/>
    <w:rsid w:val="00EC1C72"/>
    <w:rsid w:val="00EC3356"/>
    <w:rsid w:val="00EC3CC9"/>
    <w:rsid w:val="00EC5D85"/>
    <w:rsid w:val="00EC680A"/>
    <w:rsid w:val="00ED511C"/>
    <w:rsid w:val="00ED7229"/>
    <w:rsid w:val="00EE25CB"/>
    <w:rsid w:val="00EE2BED"/>
    <w:rsid w:val="00EE374B"/>
    <w:rsid w:val="00EE4A87"/>
    <w:rsid w:val="00EF2869"/>
    <w:rsid w:val="00F05D60"/>
    <w:rsid w:val="00F07224"/>
    <w:rsid w:val="00F07FD3"/>
    <w:rsid w:val="00F11BB5"/>
    <w:rsid w:val="00F1296C"/>
    <w:rsid w:val="00F1417B"/>
    <w:rsid w:val="00F1712D"/>
    <w:rsid w:val="00F17A17"/>
    <w:rsid w:val="00F208A0"/>
    <w:rsid w:val="00F2115E"/>
    <w:rsid w:val="00F27B3D"/>
    <w:rsid w:val="00F27F6A"/>
    <w:rsid w:val="00F30ABD"/>
    <w:rsid w:val="00F34B99"/>
    <w:rsid w:val="00F40B02"/>
    <w:rsid w:val="00F41E81"/>
    <w:rsid w:val="00F51720"/>
    <w:rsid w:val="00F51CF2"/>
    <w:rsid w:val="00F52DAB"/>
    <w:rsid w:val="00F543F0"/>
    <w:rsid w:val="00F55E3E"/>
    <w:rsid w:val="00F57601"/>
    <w:rsid w:val="00F73F99"/>
    <w:rsid w:val="00F75F80"/>
    <w:rsid w:val="00F81D29"/>
    <w:rsid w:val="00F85CF8"/>
    <w:rsid w:val="00F90BE5"/>
    <w:rsid w:val="00F91C4D"/>
    <w:rsid w:val="00F92FD9"/>
    <w:rsid w:val="00FA37B1"/>
    <w:rsid w:val="00FA3E0B"/>
    <w:rsid w:val="00FA5EF7"/>
    <w:rsid w:val="00FA6684"/>
    <w:rsid w:val="00FA731E"/>
    <w:rsid w:val="00FA7BD0"/>
    <w:rsid w:val="00FB1DCF"/>
    <w:rsid w:val="00FB2B38"/>
    <w:rsid w:val="00FB61CE"/>
    <w:rsid w:val="00FB7A07"/>
    <w:rsid w:val="00FC04CC"/>
    <w:rsid w:val="00FC2066"/>
    <w:rsid w:val="00FC6358"/>
    <w:rsid w:val="00FD1381"/>
    <w:rsid w:val="00FD320D"/>
    <w:rsid w:val="00FD6CF5"/>
    <w:rsid w:val="00FE1B98"/>
    <w:rsid w:val="00FE23DE"/>
    <w:rsid w:val="00FF1801"/>
    <w:rsid w:val="00FF6842"/>
    <w:rsid w:val="010B40AB"/>
    <w:rsid w:val="02F13E16"/>
    <w:rsid w:val="04465615"/>
    <w:rsid w:val="04B85AEA"/>
    <w:rsid w:val="10984B54"/>
    <w:rsid w:val="11F20F5A"/>
    <w:rsid w:val="12BA4EF8"/>
    <w:rsid w:val="146E32D4"/>
    <w:rsid w:val="163B2C9D"/>
    <w:rsid w:val="1C1954E4"/>
    <w:rsid w:val="1D9059E9"/>
    <w:rsid w:val="1E193D17"/>
    <w:rsid w:val="211D30A8"/>
    <w:rsid w:val="25422A37"/>
    <w:rsid w:val="2A251451"/>
    <w:rsid w:val="32A96754"/>
    <w:rsid w:val="387F3D69"/>
    <w:rsid w:val="3A1E0E3B"/>
    <w:rsid w:val="3BAD4EAA"/>
    <w:rsid w:val="3DD8007B"/>
    <w:rsid w:val="3E5D283D"/>
    <w:rsid w:val="413E5D4B"/>
    <w:rsid w:val="418F23F8"/>
    <w:rsid w:val="428A023B"/>
    <w:rsid w:val="42F474D9"/>
    <w:rsid w:val="437937E1"/>
    <w:rsid w:val="4624115E"/>
    <w:rsid w:val="48BF68AB"/>
    <w:rsid w:val="4938104E"/>
    <w:rsid w:val="498C3D80"/>
    <w:rsid w:val="4A1731F9"/>
    <w:rsid w:val="4BCC34CE"/>
    <w:rsid w:val="4C922421"/>
    <w:rsid w:val="53515F15"/>
    <w:rsid w:val="53795934"/>
    <w:rsid w:val="59954076"/>
    <w:rsid w:val="5A6C4617"/>
    <w:rsid w:val="5F683989"/>
    <w:rsid w:val="614D483D"/>
    <w:rsid w:val="61DC2972"/>
    <w:rsid w:val="62204C0B"/>
    <w:rsid w:val="64D83579"/>
    <w:rsid w:val="64FB341F"/>
    <w:rsid w:val="683E7B32"/>
    <w:rsid w:val="6A7412D3"/>
    <w:rsid w:val="6C2E079E"/>
    <w:rsid w:val="6FEC29E6"/>
    <w:rsid w:val="756C4BAA"/>
    <w:rsid w:val="77643F73"/>
    <w:rsid w:val="79581678"/>
    <w:rsid w:val="79F7198E"/>
    <w:rsid w:val="7A773FD9"/>
    <w:rsid w:val="7D5F327B"/>
    <w:rsid w:val="7E1647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uiPriority="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0">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styleId="3">
    <w:name w:val="toc 7"/>
    <w:basedOn w:val="1"/>
    <w:next w:val="1"/>
    <w:semiHidden/>
    <w:qFormat/>
    <w:uiPriority w:val="0"/>
    <w:pPr>
      <w:tabs>
        <w:tab w:val="right" w:leader="dot" w:pos="9241"/>
      </w:tabs>
      <w:ind w:firstLine="505" w:firstLineChars="500"/>
      <w:jc w:val="left"/>
    </w:pPr>
    <w:rPr>
      <w:rFonts w:ascii="宋体"/>
      <w:szCs w:val="21"/>
    </w:rPr>
  </w:style>
  <w:style w:type="paragraph" w:styleId="4">
    <w:name w:val="index 8"/>
    <w:basedOn w:val="1"/>
    <w:next w:val="1"/>
    <w:qFormat/>
    <w:uiPriority w:val="0"/>
    <w:pPr>
      <w:ind w:left="1680" w:hanging="210"/>
      <w:jc w:val="left"/>
    </w:pPr>
    <w:rPr>
      <w:rFonts w:ascii="Calibri" w:hAnsi="Calibri"/>
      <w:sz w:val="20"/>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qFormat/>
    <w:uiPriority w:val="0"/>
    <w:pPr>
      <w:ind w:left="1050" w:hanging="210"/>
      <w:jc w:val="left"/>
    </w:pPr>
    <w:rPr>
      <w:rFonts w:ascii="Calibri" w:hAnsi="Calibri"/>
      <w:sz w:val="20"/>
      <w:szCs w:val="20"/>
    </w:rPr>
  </w:style>
  <w:style w:type="paragraph" w:styleId="7">
    <w:name w:val="Document Map"/>
    <w:basedOn w:val="1"/>
    <w:semiHidden/>
    <w:qFormat/>
    <w:uiPriority w:val="0"/>
    <w:pPr>
      <w:shd w:val="clear" w:color="auto" w:fill="000080"/>
    </w:pPr>
  </w:style>
  <w:style w:type="paragraph" w:styleId="8">
    <w:name w:val="index 6"/>
    <w:basedOn w:val="1"/>
    <w:next w:val="1"/>
    <w:qFormat/>
    <w:uiPriority w:val="0"/>
    <w:pPr>
      <w:ind w:left="1260" w:hanging="210"/>
      <w:jc w:val="left"/>
    </w:pPr>
    <w:rPr>
      <w:rFonts w:ascii="Calibri" w:hAnsi="Calibri"/>
      <w:sz w:val="20"/>
      <w:szCs w:val="20"/>
    </w:rPr>
  </w:style>
  <w:style w:type="paragraph" w:styleId="9">
    <w:name w:val="index 4"/>
    <w:basedOn w:val="1"/>
    <w:next w:val="1"/>
    <w:qFormat/>
    <w:uiPriority w:val="0"/>
    <w:pPr>
      <w:ind w:left="840" w:hanging="210"/>
      <w:jc w:val="left"/>
    </w:pPr>
    <w:rPr>
      <w:rFonts w:ascii="Calibri" w:hAnsi="Calibri"/>
      <w:sz w:val="20"/>
      <w:szCs w:val="20"/>
    </w:rPr>
  </w:style>
  <w:style w:type="paragraph" w:styleId="10">
    <w:name w:val="toc 5"/>
    <w:basedOn w:val="1"/>
    <w:next w:val="1"/>
    <w:semiHidden/>
    <w:qFormat/>
    <w:uiPriority w:val="0"/>
    <w:pPr>
      <w:tabs>
        <w:tab w:val="right" w:leader="dot" w:pos="9241"/>
      </w:tabs>
      <w:ind w:firstLine="300" w:firstLineChars="300"/>
      <w:jc w:val="left"/>
    </w:pPr>
    <w:rPr>
      <w:rFonts w:ascii="宋体"/>
      <w:szCs w:val="21"/>
    </w:rPr>
  </w:style>
  <w:style w:type="paragraph" w:styleId="11">
    <w:name w:val="toc 3"/>
    <w:basedOn w:val="1"/>
    <w:next w:val="1"/>
    <w:semiHidden/>
    <w:qFormat/>
    <w:uiPriority w:val="0"/>
    <w:pPr>
      <w:tabs>
        <w:tab w:val="right" w:leader="dot" w:pos="9241"/>
      </w:tabs>
      <w:ind w:firstLine="102" w:firstLineChars="100"/>
      <w:jc w:val="left"/>
    </w:pPr>
    <w:rPr>
      <w:rFonts w:ascii="宋体"/>
      <w:szCs w:val="21"/>
    </w:rPr>
  </w:style>
  <w:style w:type="paragraph" w:styleId="12">
    <w:name w:val="toc 8"/>
    <w:basedOn w:val="1"/>
    <w:next w:val="1"/>
    <w:semiHidden/>
    <w:qFormat/>
    <w:uiPriority w:val="0"/>
    <w:pPr>
      <w:tabs>
        <w:tab w:val="right" w:leader="dot" w:pos="9241"/>
      </w:tabs>
      <w:ind w:firstLine="607" w:firstLineChars="600"/>
      <w:jc w:val="left"/>
    </w:pPr>
    <w:rPr>
      <w:rFonts w:ascii="宋体"/>
      <w:szCs w:val="21"/>
    </w:rPr>
  </w:style>
  <w:style w:type="paragraph" w:styleId="13">
    <w:name w:val="index 3"/>
    <w:basedOn w:val="1"/>
    <w:next w:val="1"/>
    <w:qFormat/>
    <w:uiPriority w:val="0"/>
    <w:pPr>
      <w:ind w:left="630" w:hanging="210"/>
      <w:jc w:val="left"/>
    </w:pPr>
    <w:rPr>
      <w:rFonts w:ascii="Calibri" w:hAnsi="Calibri"/>
      <w:sz w:val="20"/>
      <w:szCs w:val="20"/>
    </w:rPr>
  </w:style>
  <w:style w:type="paragraph" w:styleId="14">
    <w:name w:val="endnote text"/>
    <w:basedOn w:val="1"/>
    <w:semiHidden/>
    <w:qFormat/>
    <w:uiPriority w:val="0"/>
    <w:pPr>
      <w:snapToGrid w:val="0"/>
      <w:jc w:val="left"/>
    </w:pPr>
  </w:style>
  <w:style w:type="paragraph" w:styleId="15">
    <w:name w:val="Balloon Text"/>
    <w:basedOn w:val="1"/>
    <w:link w:val="138"/>
    <w:qFormat/>
    <w:uiPriority w:val="0"/>
    <w:rPr>
      <w:sz w:val="18"/>
      <w:szCs w:val="18"/>
    </w:rPr>
  </w:style>
  <w:style w:type="paragraph" w:styleId="16">
    <w:name w:val="footer"/>
    <w:basedOn w:val="1"/>
    <w:qFormat/>
    <w:uiPriority w:val="0"/>
    <w:pPr>
      <w:snapToGrid w:val="0"/>
      <w:ind w:right="210" w:rightChars="100"/>
      <w:jc w:val="right"/>
    </w:pPr>
    <w:rPr>
      <w:sz w:val="18"/>
      <w:szCs w:val="18"/>
    </w:rPr>
  </w:style>
  <w:style w:type="paragraph" w:styleId="17">
    <w:name w:val="header"/>
    <w:basedOn w:val="1"/>
    <w:qFormat/>
    <w:uiPriority w:val="0"/>
    <w:pPr>
      <w:snapToGrid w:val="0"/>
      <w:jc w:val="left"/>
    </w:pPr>
    <w:rPr>
      <w:sz w:val="18"/>
      <w:szCs w:val="18"/>
    </w:rPr>
  </w:style>
  <w:style w:type="paragraph" w:styleId="18">
    <w:name w:val="toc 1"/>
    <w:basedOn w:val="1"/>
    <w:next w:val="1"/>
    <w:qFormat/>
    <w:uiPriority w:val="39"/>
    <w:pPr>
      <w:tabs>
        <w:tab w:val="right" w:leader="dot" w:pos="9241"/>
      </w:tabs>
      <w:spacing w:beforeLines="25" w:afterLines="25"/>
      <w:jc w:val="left"/>
    </w:pPr>
    <w:rPr>
      <w:rFonts w:ascii="宋体"/>
      <w:szCs w:val="21"/>
    </w:rPr>
  </w:style>
  <w:style w:type="paragraph" w:styleId="19">
    <w:name w:val="toc 4"/>
    <w:basedOn w:val="1"/>
    <w:next w:val="1"/>
    <w:semiHidden/>
    <w:qFormat/>
    <w:uiPriority w:val="0"/>
    <w:pPr>
      <w:tabs>
        <w:tab w:val="right" w:leader="dot" w:pos="9241"/>
      </w:tabs>
      <w:ind w:firstLine="198" w:firstLineChars="200"/>
      <w:jc w:val="left"/>
    </w:pPr>
    <w:rPr>
      <w:rFonts w:ascii="宋体"/>
      <w:szCs w:val="21"/>
    </w:rPr>
  </w:style>
  <w:style w:type="paragraph" w:styleId="20">
    <w:name w:val="index heading"/>
    <w:basedOn w:val="1"/>
    <w:next w:val="21"/>
    <w:qFormat/>
    <w:uiPriority w:val="0"/>
    <w:pPr>
      <w:spacing w:before="120" w:after="120"/>
      <w:jc w:val="center"/>
    </w:pPr>
    <w:rPr>
      <w:rFonts w:ascii="Calibri" w:hAnsi="Calibri"/>
      <w:b/>
      <w:bCs/>
      <w:iCs/>
      <w:szCs w:val="20"/>
    </w:rPr>
  </w:style>
  <w:style w:type="paragraph" w:styleId="21">
    <w:name w:val="index 1"/>
    <w:basedOn w:val="1"/>
    <w:next w:val="22"/>
    <w:qFormat/>
    <w:uiPriority w:val="0"/>
    <w:pPr>
      <w:tabs>
        <w:tab w:val="right" w:leader="dot" w:pos="9299"/>
      </w:tabs>
      <w:jc w:val="left"/>
    </w:pPr>
    <w:rPr>
      <w:rFonts w:ascii="宋体"/>
      <w:szCs w:val="21"/>
    </w:rPr>
  </w:style>
  <w:style w:type="paragraph" w:customStyle="1" w:styleId="22">
    <w:name w:val="段"/>
    <w:link w:val="3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3">
    <w:name w:val="footnote text"/>
    <w:basedOn w:val="1"/>
    <w:qFormat/>
    <w:uiPriority w:val="0"/>
    <w:pPr>
      <w:numPr>
        <w:ilvl w:val="0"/>
        <w:numId w:val="1"/>
      </w:numPr>
      <w:snapToGrid w:val="0"/>
      <w:jc w:val="left"/>
    </w:pPr>
    <w:rPr>
      <w:rFonts w:ascii="宋体"/>
      <w:sz w:val="18"/>
      <w:szCs w:val="18"/>
    </w:rPr>
  </w:style>
  <w:style w:type="paragraph" w:styleId="24">
    <w:name w:val="toc 6"/>
    <w:basedOn w:val="1"/>
    <w:next w:val="1"/>
    <w:semiHidden/>
    <w:qFormat/>
    <w:uiPriority w:val="0"/>
    <w:pPr>
      <w:tabs>
        <w:tab w:val="right" w:leader="dot" w:pos="9241"/>
      </w:tabs>
      <w:ind w:firstLine="403" w:firstLineChars="400"/>
      <w:jc w:val="left"/>
    </w:pPr>
    <w:rPr>
      <w:rFonts w:ascii="宋体"/>
      <w:szCs w:val="21"/>
    </w:rPr>
  </w:style>
  <w:style w:type="paragraph" w:styleId="25">
    <w:name w:val="index 7"/>
    <w:basedOn w:val="1"/>
    <w:next w:val="1"/>
    <w:qFormat/>
    <w:uiPriority w:val="0"/>
    <w:pPr>
      <w:ind w:left="1470" w:hanging="210"/>
      <w:jc w:val="left"/>
    </w:pPr>
    <w:rPr>
      <w:rFonts w:ascii="Calibri" w:hAnsi="Calibri"/>
      <w:sz w:val="20"/>
      <w:szCs w:val="20"/>
    </w:rPr>
  </w:style>
  <w:style w:type="paragraph" w:styleId="26">
    <w:name w:val="index 9"/>
    <w:basedOn w:val="1"/>
    <w:next w:val="1"/>
    <w:qFormat/>
    <w:uiPriority w:val="0"/>
    <w:pPr>
      <w:ind w:left="1890" w:hanging="210"/>
      <w:jc w:val="left"/>
    </w:pPr>
    <w:rPr>
      <w:rFonts w:ascii="Calibri" w:hAnsi="Calibri"/>
      <w:sz w:val="20"/>
      <w:szCs w:val="20"/>
    </w:rPr>
  </w:style>
  <w:style w:type="paragraph" w:styleId="27">
    <w:name w:val="toc 2"/>
    <w:basedOn w:val="1"/>
    <w:next w:val="1"/>
    <w:semiHidden/>
    <w:qFormat/>
    <w:uiPriority w:val="0"/>
    <w:pPr>
      <w:tabs>
        <w:tab w:val="right" w:leader="dot" w:pos="9241"/>
      </w:tabs>
    </w:pPr>
    <w:rPr>
      <w:rFonts w:ascii="宋体"/>
      <w:szCs w:val="21"/>
    </w:rPr>
  </w:style>
  <w:style w:type="paragraph" w:styleId="28">
    <w:name w:val="toc 9"/>
    <w:basedOn w:val="1"/>
    <w:next w:val="1"/>
    <w:semiHidden/>
    <w:qFormat/>
    <w:uiPriority w:val="0"/>
    <w:pPr>
      <w:ind w:left="1470"/>
      <w:jc w:val="left"/>
    </w:pPr>
    <w:rPr>
      <w:sz w:val="20"/>
      <w:szCs w:val="20"/>
    </w:rPr>
  </w:style>
  <w:style w:type="paragraph" w:styleId="29">
    <w:name w:val="index 2"/>
    <w:basedOn w:val="1"/>
    <w:next w:val="1"/>
    <w:qFormat/>
    <w:uiPriority w:val="0"/>
    <w:pPr>
      <w:ind w:left="420" w:hanging="210"/>
      <w:jc w:val="left"/>
    </w:pPr>
    <w:rPr>
      <w:rFonts w:ascii="Calibri" w:hAnsi="Calibri"/>
      <w:sz w:val="20"/>
      <w:szCs w:val="20"/>
    </w:rPr>
  </w:style>
  <w:style w:type="character" w:styleId="31">
    <w:name w:val="endnote reference"/>
    <w:semiHidden/>
    <w:qFormat/>
    <w:uiPriority w:val="0"/>
    <w:rPr>
      <w:vertAlign w:val="superscript"/>
    </w:rPr>
  </w:style>
  <w:style w:type="character" w:styleId="32">
    <w:name w:val="page number"/>
    <w:qFormat/>
    <w:uiPriority w:val="0"/>
    <w:rPr>
      <w:rFonts w:ascii="Times New Roman" w:hAnsi="Times New Roman" w:eastAsia="宋体"/>
      <w:sz w:val="18"/>
    </w:rPr>
  </w:style>
  <w:style w:type="character" w:styleId="33">
    <w:name w:val="FollowedHyperlink"/>
    <w:qFormat/>
    <w:uiPriority w:val="0"/>
    <w:rPr>
      <w:color w:val="800080"/>
      <w:u w:val="single"/>
    </w:rPr>
  </w:style>
  <w:style w:type="character" w:styleId="34">
    <w:name w:val="Hyperlink"/>
    <w:qFormat/>
    <w:uiPriority w:val="99"/>
    <w:rPr>
      <w:color w:val="0000FF"/>
      <w:spacing w:val="0"/>
      <w:w w:val="100"/>
      <w:szCs w:val="21"/>
      <w:u w:val="single"/>
    </w:rPr>
  </w:style>
  <w:style w:type="character" w:styleId="35">
    <w:name w:val="footnote reference"/>
    <w:semiHidden/>
    <w:qFormat/>
    <w:uiPriority w:val="0"/>
    <w:rPr>
      <w:vertAlign w:val="superscript"/>
    </w:rPr>
  </w:style>
  <w:style w:type="table" w:styleId="37">
    <w:name w:val="Table Grid"/>
    <w:basedOn w:val="36"/>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8">
    <w:name w:val="段 Char"/>
    <w:link w:val="22"/>
    <w:qFormat/>
    <w:uiPriority w:val="0"/>
    <w:rPr>
      <w:rFonts w:ascii="宋体"/>
      <w:sz w:val="21"/>
      <w:lang w:val="en-US" w:eastAsia="zh-CN" w:bidi="ar-SA"/>
    </w:rPr>
  </w:style>
  <w:style w:type="paragraph" w:customStyle="1" w:styleId="39">
    <w:name w:val="一级条标题"/>
    <w:next w:val="22"/>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40">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2">
    <w:name w:val="章标题"/>
    <w:next w:val="22"/>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43">
    <w:name w:val="二级条标题"/>
    <w:basedOn w:val="39"/>
    <w:next w:val="22"/>
    <w:qFormat/>
    <w:uiPriority w:val="0"/>
    <w:pPr>
      <w:numPr>
        <w:ilvl w:val="2"/>
      </w:numPr>
      <w:spacing w:before="50" w:after="50"/>
      <w:outlineLvl w:val="3"/>
    </w:pPr>
  </w:style>
  <w:style w:type="paragraph" w:customStyle="1" w:styleId="4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5">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46">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47">
    <w:name w:val="目次、标准名称标题"/>
    <w:basedOn w:val="1"/>
    <w:next w:val="22"/>
    <w:link w:val="136"/>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8">
    <w:name w:val="三级条标题"/>
    <w:basedOn w:val="43"/>
    <w:next w:val="22"/>
    <w:qFormat/>
    <w:uiPriority w:val="0"/>
    <w:pPr>
      <w:numPr>
        <w:ilvl w:val="3"/>
      </w:numPr>
      <w:outlineLvl w:val="4"/>
    </w:pPr>
  </w:style>
  <w:style w:type="paragraph" w:customStyle="1" w:styleId="49">
    <w:name w:val="示例"/>
    <w:next w:val="50"/>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0">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1">
    <w:name w:val="数字编号列项（二级）"/>
    <w:qFormat/>
    <w:uiPriority w:val="0"/>
    <w:pPr>
      <w:numPr>
        <w:ilvl w:val="1"/>
        <w:numId w:val="5"/>
      </w:numPr>
      <w:jc w:val="both"/>
    </w:pPr>
    <w:rPr>
      <w:rFonts w:ascii="宋体" w:hAnsi="Times New Roman" w:eastAsia="宋体" w:cs="Times New Roman"/>
      <w:sz w:val="21"/>
      <w:lang w:val="en-US" w:eastAsia="zh-CN" w:bidi="ar-SA"/>
    </w:rPr>
  </w:style>
  <w:style w:type="paragraph" w:customStyle="1" w:styleId="52">
    <w:name w:val="四级条标题"/>
    <w:basedOn w:val="48"/>
    <w:next w:val="22"/>
    <w:qFormat/>
    <w:uiPriority w:val="0"/>
    <w:pPr>
      <w:numPr>
        <w:ilvl w:val="4"/>
      </w:numPr>
      <w:outlineLvl w:val="5"/>
    </w:pPr>
  </w:style>
  <w:style w:type="paragraph" w:customStyle="1" w:styleId="53">
    <w:name w:val="五级条标题"/>
    <w:basedOn w:val="52"/>
    <w:next w:val="22"/>
    <w:qFormat/>
    <w:uiPriority w:val="0"/>
    <w:pPr>
      <w:numPr>
        <w:ilvl w:val="5"/>
      </w:numPr>
      <w:outlineLvl w:val="6"/>
    </w:pPr>
  </w:style>
  <w:style w:type="paragraph" w:customStyle="1" w:styleId="54">
    <w:name w:val="注："/>
    <w:next w:val="22"/>
    <w:qFormat/>
    <w:uiPriority w:val="0"/>
    <w:pPr>
      <w:widowControl w:val="0"/>
      <w:numPr>
        <w:ilvl w:val="0"/>
        <w:numId w:val="6"/>
      </w:numPr>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55">
    <w:name w:val="注×："/>
    <w:qFormat/>
    <w:uiPriority w:val="0"/>
    <w:pPr>
      <w:widowControl w:val="0"/>
      <w:numPr>
        <w:ilvl w:val="0"/>
        <w:numId w:val="7"/>
      </w:numPr>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56">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57">
    <w:name w:val="列项◆（三级）"/>
    <w:basedOn w:val="1"/>
    <w:qFormat/>
    <w:uiPriority w:val="0"/>
    <w:pPr>
      <w:numPr>
        <w:ilvl w:val="2"/>
        <w:numId w:val="3"/>
      </w:numPr>
    </w:pPr>
    <w:rPr>
      <w:rFonts w:ascii="宋体"/>
      <w:szCs w:val="21"/>
    </w:rPr>
  </w:style>
  <w:style w:type="paragraph" w:customStyle="1" w:styleId="58">
    <w:name w:val="编号列项（三级）"/>
    <w:qFormat/>
    <w:uiPriority w:val="0"/>
    <w:pPr>
      <w:numPr>
        <w:ilvl w:val="2"/>
        <w:numId w:val="5"/>
      </w:numPr>
    </w:pPr>
    <w:rPr>
      <w:rFonts w:ascii="宋体" w:hAnsi="Times New Roman" w:eastAsia="宋体" w:cs="Times New Roman"/>
      <w:sz w:val="21"/>
      <w:lang w:val="en-US" w:eastAsia="zh-CN" w:bidi="ar-SA"/>
    </w:rPr>
  </w:style>
  <w:style w:type="paragraph" w:customStyle="1" w:styleId="59">
    <w:name w:val="示例×："/>
    <w:basedOn w:val="42"/>
    <w:qFormat/>
    <w:uiPriority w:val="0"/>
    <w:pPr>
      <w:numPr>
        <w:numId w:val="8"/>
      </w:numPr>
      <w:spacing w:beforeLines="0" w:afterLines="0"/>
      <w:outlineLvl w:val="9"/>
    </w:pPr>
    <w:rPr>
      <w:rFonts w:ascii="宋体" w:eastAsia="宋体"/>
      <w:sz w:val="18"/>
      <w:szCs w:val="18"/>
    </w:rPr>
  </w:style>
  <w:style w:type="paragraph" w:customStyle="1" w:styleId="60">
    <w:name w:val="二级无"/>
    <w:basedOn w:val="43"/>
    <w:qFormat/>
    <w:uiPriority w:val="0"/>
    <w:pPr>
      <w:spacing w:beforeLines="0" w:afterLines="0"/>
    </w:pPr>
    <w:rPr>
      <w:rFonts w:ascii="宋体" w:eastAsia="宋体"/>
    </w:rPr>
  </w:style>
  <w:style w:type="paragraph" w:customStyle="1" w:styleId="61">
    <w:name w:val="注：（正文）"/>
    <w:basedOn w:val="54"/>
    <w:next w:val="22"/>
    <w:qFormat/>
    <w:uiPriority w:val="0"/>
    <w:pPr>
      <w:numPr>
        <w:numId w:val="9"/>
      </w:numPr>
      <w:ind w:left="726" w:hanging="363"/>
    </w:pPr>
  </w:style>
  <w:style w:type="paragraph" w:customStyle="1" w:styleId="62">
    <w:name w:val="注×：（正文）"/>
    <w:qFormat/>
    <w:uiPriority w:val="0"/>
    <w:pPr>
      <w:numPr>
        <w:ilvl w:val="0"/>
        <w:numId w:val="10"/>
      </w:numPr>
      <w:ind w:left="811" w:hanging="448"/>
      <w:jc w:val="both"/>
    </w:pPr>
    <w:rPr>
      <w:rFonts w:ascii="宋体" w:hAnsi="Times New Roman" w:eastAsia="宋体" w:cs="Times New Roman"/>
      <w:sz w:val="18"/>
      <w:szCs w:val="18"/>
      <w:lang w:val="en-US" w:eastAsia="zh-CN" w:bidi="ar-SA"/>
    </w:rPr>
  </w:style>
  <w:style w:type="paragraph" w:customStyle="1" w:styleId="63">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4">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6">
    <w:name w:val="标准书眉_偶数页"/>
    <w:basedOn w:val="41"/>
    <w:next w:val="1"/>
    <w:qFormat/>
    <w:uiPriority w:val="0"/>
    <w:pPr>
      <w:jc w:val="left"/>
    </w:pPr>
  </w:style>
  <w:style w:type="paragraph" w:customStyle="1" w:styleId="67">
    <w:name w:val="标准书眉一"/>
    <w:qFormat/>
    <w:uiPriority w:val="0"/>
    <w:pPr>
      <w:jc w:val="both"/>
    </w:pPr>
    <w:rPr>
      <w:rFonts w:ascii="Times New Roman" w:hAnsi="Times New Roman" w:eastAsia="宋体" w:cs="Times New Roman"/>
      <w:lang w:val="en-US" w:eastAsia="zh-CN" w:bidi="ar-SA"/>
    </w:rPr>
  </w:style>
  <w:style w:type="paragraph" w:customStyle="1" w:styleId="68">
    <w:name w:val="参考文献"/>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69">
    <w:name w:val="参考文献、索引标题"/>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0">
    <w:name w:val="发布"/>
    <w:qFormat/>
    <w:uiPriority w:val="0"/>
    <w:rPr>
      <w:rFonts w:ascii="黑体" w:eastAsia="黑体"/>
      <w:spacing w:val="85"/>
      <w:w w:val="100"/>
      <w:position w:val="3"/>
      <w:sz w:val="28"/>
      <w:szCs w:val="28"/>
    </w:rPr>
  </w:style>
  <w:style w:type="paragraph" w:customStyle="1" w:styleId="71">
    <w:name w:val="发布部门"/>
    <w:next w:val="2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2">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6">
    <w:name w:val="封面标准英文名称"/>
    <w:basedOn w:val="75"/>
    <w:qFormat/>
    <w:uiPriority w:val="0"/>
    <w:pPr>
      <w:spacing w:before="370" w:line="400" w:lineRule="exact"/>
    </w:pPr>
    <w:rPr>
      <w:rFonts w:ascii="Times New Roman"/>
      <w:sz w:val="28"/>
      <w:szCs w:val="28"/>
    </w:rPr>
  </w:style>
  <w:style w:type="paragraph" w:customStyle="1" w:styleId="77">
    <w:name w:val="封面一致性程度标识"/>
    <w:basedOn w:val="76"/>
    <w:qFormat/>
    <w:uiPriority w:val="0"/>
    <w:pPr>
      <w:spacing w:before="440"/>
    </w:pPr>
    <w:rPr>
      <w:rFonts w:ascii="宋体" w:eastAsia="宋体"/>
    </w:rPr>
  </w:style>
  <w:style w:type="paragraph" w:customStyle="1" w:styleId="78">
    <w:name w:val="封面标准文稿类别"/>
    <w:basedOn w:val="77"/>
    <w:qFormat/>
    <w:uiPriority w:val="0"/>
    <w:pPr>
      <w:spacing w:after="160" w:line="240" w:lineRule="auto"/>
    </w:pPr>
    <w:rPr>
      <w:sz w:val="24"/>
    </w:rPr>
  </w:style>
  <w:style w:type="paragraph" w:customStyle="1" w:styleId="79">
    <w:name w:val="封面标准文稿编辑信息"/>
    <w:basedOn w:val="78"/>
    <w:qFormat/>
    <w:uiPriority w:val="0"/>
    <w:pPr>
      <w:spacing w:before="180" w:line="180" w:lineRule="exact"/>
    </w:pPr>
    <w:rPr>
      <w:sz w:val="21"/>
    </w:rPr>
  </w:style>
  <w:style w:type="paragraph" w:customStyle="1" w:styleId="80">
    <w:name w:val="封面正文"/>
    <w:qFormat/>
    <w:uiPriority w:val="0"/>
    <w:pPr>
      <w:jc w:val="both"/>
    </w:pPr>
    <w:rPr>
      <w:rFonts w:ascii="Times New Roman" w:hAnsi="Times New Roman" w:eastAsia="宋体" w:cs="Times New Roman"/>
      <w:lang w:val="en-US" w:eastAsia="zh-CN" w:bidi="ar-SA"/>
    </w:rPr>
  </w:style>
  <w:style w:type="paragraph" w:customStyle="1" w:styleId="81">
    <w:name w:val="附录标识"/>
    <w:basedOn w:val="1"/>
    <w:next w:val="22"/>
    <w:qFormat/>
    <w:uiPriority w:val="0"/>
    <w:pPr>
      <w:keepNext/>
      <w:widowControl/>
      <w:numPr>
        <w:ilvl w:val="0"/>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2">
    <w:name w:val="附录标题"/>
    <w:basedOn w:val="22"/>
    <w:next w:val="22"/>
    <w:qFormat/>
    <w:uiPriority w:val="0"/>
    <w:pPr>
      <w:ind w:firstLine="0" w:firstLineChars="0"/>
      <w:jc w:val="center"/>
    </w:pPr>
    <w:rPr>
      <w:rFonts w:ascii="黑体" w:eastAsia="黑体"/>
    </w:rPr>
  </w:style>
  <w:style w:type="paragraph" w:customStyle="1" w:styleId="83">
    <w:name w:val="附录表标号"/>
    <w:basedOn w:val="1"/>
    <w:next w:val="22"/>
    <w:qFormat/>
    <w:uiPriority w:val="0"/>
    <w:pPr>
      <w:numPr>
        <w:ilvl w:val="0"/>
        <w:numId w:val="12"/>
      </w:numPr>
      <w:tabs>
        <w:tab w:val="clear" w:pos="0"/>
      </w:tabs>
      <w:spacing w:line="14" w:lineRule="exact"/>
      <w:ind w:left="811" w:hanging="448"/>
      <w:jc w:val="center"/>
      <w:outlineLvl w:val="0"/>
    </w:pPr>
    <w:rPr>
      <w:color w:val="FFFFFF"/>
    </w:rPr>
  </w:style>
  <w:style w:type="paragraph" w:customStyle="1" w:styleId="84">
    <w:name w:val="附录表标题"/>
    <w:basedOn w:val="1"/>
    <w:next w:val="22"/>
    <w:qFormat/>
    <w:uiPriority w:val="0"/>
    <w:pPr>
      <w:numPr>
        <w:ilvl w:val="1"/>
        <w:numId w:val="12"/>
      </w:numPr>
      <w:tabs>
        <w:tab w:val="left" w:pos="180"/>
      </w:tabs>
      <w:spacing w:beforeLines="50" w:afterLines="50"/>
      <w:ind w:left="0" w:firstLine="0"/>
      <w:jc w:val="center"/>
    </w:pPr>
    <w:rPr>
      <w:rFonts w:ascii="黑体" w:eastAsia="黑体"/>
      <w:szCs w:val="21"/>
    </w:rPr>
  </w:style>
  <w:style w:type="paragraph" w:customStyle="1" w:styleId="85">
    <w:name w:val="附录二级条标题"/>
    <w:basedOn w:val="1"/>
    <w:next w:val="22"/>
    <w:qFormat/>
    <w:uiPriority w:val="0"/>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86">
    <w:name w:val="附录二级无"/>
    <w:basedOn w:val="85"/>
    <w:qFormat/>
    <w:uiPriority w:val="0"/>
    <w:pPr>
      <w:tabs>
        <w:tab w:val="clear" w:pos="360"/>
      </w:tabs>
      <w:spacing w:beforeLines="0" w:afterLines="0"/>
    </w:pPr>
    <w:rPr>
      <w:rFonts w:ascii="宋体" w:eastAsia="宋体"/>
      <w:szCs w:val="21"/>
    </w:rPr>
  </w:style>
  <w:style w:type="paragraph" w:customStyle="1" w:styleId="87">
    <w:name w:val="附录公式"/>
    <w:basedOn w:val="22"/>
    <w:next w:val="22"/>
    <w:link w:val="88"/>
    <w:qFormat/>
    <w:uiPriority w:val="0"/>
  </w:style>
  <w:style w:type="character" w:customStyle="1" w:styleId="88">
    <w:name w:val="附录公式 Char"/>
    <w:basedOn w:val="38"/>
    <w:link w:val="87"/>
    <w:qFormat/>
    <w:uiPriority w:val="0"/>
    <w:rPr>
      <w:rFonts w:ascii="宋体"/>
      <w:sz w:val="21"/>
      <w:lang w:val="en-US" w:eastAsia="zh-CN" w:bidi="ar-SA"/>
    </w:rPr>
  </w:style>
  <w:style w:type="paragraph" w:customStyle="1" w:styleId="89">
    <w:name w:val="附录公式编号制表符"/>
    <w:basedOn w:val="1"/>
    <w:next w:val="22"/>
    <w:qFormat/>
    <w:uiPriority w:val="0"/>
    <w:pPr>
      <w:widowControl/>
      <w:tabs>
        <w:tab w:val="center" w:pos="4201"/>
        <w:tab w:val="right" w:leader="dot" w:pos="9298"/>
      </w:tabs>
      <w:autoSpaceDE w:val="0"/>
      <w:autoSpaceDN w:val="0"/>
    </w:pPr>
    <w:rPr>
      <w:rFonts w:ascii="宋体"/>
      <w:kern w:val="0"/>
      <w:szCs w:val="20"/>
    </w:rPr>
  </w:style>
  <w:style w:type="paragraph" w:customStyle="1" w:styleId="90">
    <w:name w:val="附录三级条标题"/>
    <w:basedOn w:val="85"/>
    <w:next w:val="22"/>
    <w:qFormat/>
    <w:uiPriority w:val="0"/>
    <w:pPr>
      <w:numPr>
        <w:ilvl w:val="4"/>
      </w:numPr>
      <w:outlineLvl w:val="4"/>
    </w:pPr>
  </w:style>
  <w:style w:type="paragraph" w:customStyle="1" w:styleId="91">
    <w:name w:val="附录三级无"/>
    <w:basedOn w:val="90"/>
    <w:qFormat/>
    <w:uiPriority w:val="0"/>
    <w:pPr>
      <w:tabs>
        <w:tab w:val="clear" w:pos="360"/>
      </w:tabs>
      <w:spacing w:beforeLines="0" w:afterLines="0"/>
    </w:pPr>
    <w:rPr>
      <w:rFonts w:ascii="宋体" w:eastAsia="宋体"/>
      <w:szCs w:val="21"/>
    </w:rPr>
  </w:style>
  <w:style w:type="paragraph" w:customStyle="1" w:styleId="92">
    <w:name w:val="附录数字编号列项（二级）"/>
    <w:qFormat/>
    <w:uiPriority w:val="0"/>
    <w:pPr>
      <w:numPr>
        <w:ilvl w:val="1"/>
        <w:numId w:val="13"/>
      </w:numPr>
    </w:pPr>
    <w:rPr>
      <w:rFonts w:ascii="宋体" w:hAnsi="Times New Roman" w:eastAsia="宋体" w:cs="Times New Roman"/>
      <w:sz w:val="21"/>
      <w:lang w:val="en-US" w:eastAsia="zh-CN" w:bidi="ar-SA"/>
    </w:rPr>
  </w:style>
  <w:style w:type="paragraph" w:customStyle="1" w:styleId="93">
    <w:name w:val="附录四级条标题"/>
    <w:basedOn w:val="90"/>
    <w:next w:val="22"/>
    <w:qFormat/>
    <w:uiPriority w:val="0"/>
    <w:pPr>
      <w:numPr>
        <w:ilvl w:val="5"/>
      </w:numPr>
      <w:outlineLvl w:val="5"/>
    </w:pPr>
  </w:style>
  <w:style w:type="paragraph" w:customStyle="1" w:styleId="94">
    <w:name w:val="附录四级无"/>
    <w:basedOn w:val="93"/>
    <w:qFormat/>
    <w:uiPriority w:val="0"/>
    <w:pPr>
      <w:tabs>
        <w:tab w:val="clear" w:pos="360"/>
      </w:tabs>
      <w:spacing w:beforeLines="0" w:afterLines="0"/>
    </w:pPr>
    <w:rPr>
      <w:rFonts w:ascii="宋体" w:eastAsia="宋体"/>
      <w:szCs w:val="21"/>
    </w:rPr>
  </w:style>
  <w:style w:type="paragraph" w:customStyle="1" w:styleId="95">
    <w:name w:val="附录图标号"/>
    <w:basedOn w:val="1"/>
    <w:qFormat/>
    <w:uiPriority w:val="0"/>
    <w:pPr>
      <w:keepNext/>
      <w:pageBreakBefore/>
      <w:widowControl/>
      <w:numPr>
        <w:ilvl w:val="0"/>
        <w:numId w:val="14"/>
      </w:numPr>
      <w:spacing w:line="14" w:lineRule="exact"/>
      <w:ind w:left="0" w:firstLine="363"/>
      <w:jc w:val="center"/>
      <w:outlineLvl w:val="0"/>
    </w:pPr>
    <w:rPr>
      <w:color w:val="FFFFFF"/>
    </w:rPr>
  </w:style>
  <w:style w:type="paragraph" w:customStyle="1" w:styleId="96">
    <w:name w:val="附录图标题"/>
    <w:basedOn w:val="1"/>
    <w:next w:val="22"/>
    <w:qFormat/>
    <w:uiPriority w:val="0"/>
    <w:pPr>
      <w:numPr>
        <w:ilvl w:val="1"/>
        <w:numId w:val="14"/>
      </w:numPr>
      <w:tabs>
        <w:tab w:val="left" w:pos="363"/>
      </w:tabs>
      <w:spacing w:beforeLines="50" w:afterLines="50"/>
      <w:ind w:left="0" w:firstLine="0"/>
      <w:jc w:val="center"/>
    </w:pPr>
    <w:rPr>
      <w:rFonts w:ascii="黑体" w:eastAsia="黑体"/>
      <w:szCs w:val="21"/>
    </w:rPr>
  </w:style>
  <w:style w:type="paragraph" w:customStyle="1" w:styleId="97">
    <w:name w:val="附录五级条标题"/>
    <w:basedOn w:val="93"/>
    <w:next w:val="22"/>
    <w:qFormat/>
    <w:uiPriority w:val="0"/>
    <w:pPr>
      <w:numPr>
        <w:ilvl w:val="6"/>
      </w:numPr>
      <w:outlineLvl w:val="6"/>
    </w:pPr>
  </w:style>
  <w:style w:type="paragraph" w:customStyle="1" w:styleId="98">
    <w:name w:val="附录五级无"/>
    <w:basedOn w:val="97"/>
    <w:qFormat/>
    <w:uiPriority w:val="0"/>
    <w:pPr>
      <w:tabs>
        <w:tab w:val="clear" w:pos="360"/>
      </w:tabs>
      <w:spacing w:beforeLines="0" w:afterLines="0"/>
    </w:pPr>
    <w:rPr>
      <w:rFonts w:ascii="宋体" w:eastAsia="宋体"/>
      <w:szCs w:val="21"/>
    </w:rPr>
  </w:style>
  <w:style w:type="paragraph" w:customStyle="1" w:styleId="99">
    <w:name w:val="附录章标题"/>
    <w:next w:val="22"/>
    <w:qFormat/>
    <w:uiPriority w:val="0"/>
    <w:pPr>
      <w:numPr>
        <w:ilvl w:val="1"/>
        <w:numId w:val="11"/>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0">
    <w:name w:val="附录一级条标题"/>
    <w:basedOn w:val="99"/>
    <w:next w:val="22"/>
    <w:qFormat/>
    <w:uiPriority w:val="0"/>
    <w:pPr>
      <w:numPr>
        <w:ilvl w:val="2"/>
      </w:numPr>
      <w:autoSpaceDN w:val="0"/>
      <w:spacing w:beforeLines="50" w:afterLines="50"/>
      <w:outlineLvl w:val="2"/>
    </w:pPr>
  </w:style>
  <w:style w:type="paragraph" w:customStyle="1" w:styleId="101">
    <w:name w:val="附录一级无"/>
    <w:basedOn w:val="100"/>
    <w:qFormat/>
    <w:uiPriority w:val="0"/>
    <w:pPr>
      <w:tabs>
        <w:tab w:val="clear" w:pos="360"/>
      </w:tabs>
      <w:spacing w:beforeLines="0" w:afterLines="0"/>
    </w:pPr>
    <w:rPr>
      <w:rFonts w:ascii="宋体" w:eastAsia="宋体"/>
      <w:szCs w:val="21"/>
    </w:rPr>
  </w:style>
  <w:style w:type="paragraph" w:customStyle="1" w:styleId="102">
    <w:name w:val="附录字母编号列项（一级）"/>
    <w:qFormat/>
    <w:uiPriority w:val="0"/>
    <w:pPr>
      <w:numPr>
        <w:ilvl w:val="0"/>
        <w:numId w:val="13"/>
      </w:numPr>
    </w:pPr>
    <w:rPr>
      <w:rFonts w:ascii="宋体" w:hAnsi="Times New Roman" w:eastAsia="宋体" w:cs="Times New Roman"/>
      <w:sz w:val="21"/>
      <w:lang w:val="en-US" w:eastAsia="zh-CN" w:bidi="ar-SA"/>
    </w:rPr>
  </w:style>
  <w:style w:type="paragraph" w:customStyle="1" w:styleId="103">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4">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6">
    <w:name w:val="其他标准标志"/>
    <w:basedOn w:val="63"/>
    <w:qFormat/>
    <w:uiPriority w:val="0"/>
    <w:pPr>
      <w:framePr w:w="6101" w:vAnchor="page" w:hAnchor="page" w:x="4673" w:y="942"/>
    </w:pPr>
    <w:rPr>
      <w:w w:val="130"/>
    </w:rPr>
  </w:style>
  <w:style w:type="paragraph" w:customStyle="1" w:styleId="107">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8">
    <w:name w:val="其他发布部门"/>
    <w:basedOn w:val="71"/>
    <w:qFormat/>
    <w:uiPriority w:val="0"/>
    <w:pPr>
      <w:framePr w:y="15310"/>
      <w:spacing w:line="0" w:lineRule="atLeast"/>
    </w:pPr>
    <w:rPr>
      <w:rFonts w:ascii="黑体" w:eastAsia="黑体"/>
      <w:b w:val="0"/>
    </w:rPr>
  </w:style>
  <w:style w:type="paragraph" w:customStyle="1" w:styleId="109">
    <w:name w:val="前言、引言标题"/>
    <w:next w:val="22"/>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0">
    <w:name w:val="三级无"/>
    <w:basedOn w:val="48"/>
    <w:qFormat/>
    <w:uiPriority w:val="0"/>
    <w:pPr>
      <w:spacing w:beforeLines="0" w:afterLines="0"/>
    </w:pPr>
    <w:rPr>
      <w:rFonts w:ascii="宋体" w:eastAsia="宋体"/>
    </w:rPr>
  </w:style>
  <w:style w:type="paragraph" w:customStyle="1" w:styleId="111">
    <w:name w:val="实施日期"/>
    <w:qFormat/>
    <w:uiPriority w:val="0"/>
    <w:pPr>
      <w:framePr w:w="3997" w:h="471" w:hRule="exact" w:vSpace="181" w:wrap="around" w:vAnchor="page" w:hAnchor="page" w:x="7089" w:y="14097"/>
      <w:jc w:val="right"/>
    </w:pPr>
    <w:rPr>
      <w:rFonts w:ascii="Times New Roman" w:hAnsi="Times New Roman" w:eastAsia="黑体" w:cs="Times New Roman"/>
      <w:sz w:val="28"/>
      <w:lang w:val="en-US" w:eastAsia="zh-CN" w:bidi="ar-SA"/>
    </w:rPr>
  </w:style>
  <w:style w:type="paragraph" w:customStyle="1" w:styleId="112">
    <w:name w:val="示例后文字"/>
    <w:basedOn w:val="22"/>
    <w:next w:val="22"/>
    <w:qFormat/>
    <w:uiPriority w:val="0"/>
    <w:pPr>
      <w:ind w:firstLine="360"/>
    </w:pPr>
    <w:rPr>
      <w:sz w:val="18"/>
    </w:rPr>
  </w:style>
  <w:style w:type="paragraph" w:customStyle="1" w:styleId="113">
    <w:name w:val="首示例"/>
    <w:next w:val="22"/>
    <w:link w:val="114"/>
    <w:qFormat/>
    <w:uiPriority w:val="0"/>
    <w:pPr>
      <w:tabs>
        <w:tab w:val="left" w:pos="360"/>
      </w:tabs>
    </w:pPr>
    <w:rPr>
      <w:rFonts w:ascii="宋体" w:hAnsi="宋体" w:eastAsia="宋体" w:cs="Times New Roman"/>
      <w:kern w:val="2"/>
      <w:sz w:val="18"/>
      <w:szCs w:val="18"/>
      <w:lang w:val="en-US" w:eastAsia="zh-CN" w:bidi="ar-SA"/>
    </w:rPr>
  </w:style>
  <w:style w:type="character" w:customStyle="1" w:styleId="114">
    <w:name w:val="首示例 Char"/>
    <w:link w:val="113"/>
    <w:qFormat/>
    <w:uiPriority w:val="0"/>
    <w:rPr>
      <w:rFonts w:ascii="宋体" w:hAnsi="宋体"/>
      <w:kern w:val="2"/>
      <w:sz w:val="18"/>
      <w:szCs w:val="18"/>
    </w:rPr>
  </w:style>
  <w:style w:type="paragraph" w:customStyle="1" w:styleId="115">
    <w:name w:val="四级无"/>
    <w:basedOn w:val="52"/>
    <w:qFormat/>
    <w:uiPriority w:val="0"/>
    <w:pPr>
      <w:spacing w:beforeLines="0" w:afterLines="0"/>
    </w:pPr>
    <w:rPr>
      <w:rFonts w:ascii="宋体" w:eastAsia="宋体"/>
    </w:rPr>
  </w:style>
  <w:style w:type="paragraph" w:customStyle="1" w:styleId="116">
    <w:name w:val="条文脚注"/>
    <w:basedOn w:val="23"/>
    <w:qFormat/>
    <w:uiPriority w:val="0"/>
    <w:pPr>
      <w:numPr>
        <w:numId w:val="0"/>
      </w:numPr>
      <w:jc w:val="both"/>
    </w:pPr>
  </w:style>
  <w:style w:type="paragraph" w:customStyle="1" w:styleId="117">
    <w:name w:val="图标脚注说明"/>
    <w:basedOn w:val="22"/>
    <w:qFormat/>
    <w:uiPriority w:val="0"/>
    <w:pPr>
      <w:ind w:left="840" w:hanging="420" w:firstLineChars="0"/>
    </w:pPr>
    <w:rPr>
      <w:sz w:val="18"/>
      <w:szCs w:val="18"/>
    </w:rPr>
  </w:style>
  <w:style w:type="paragraph" w:customStyle="1" w:styleId="118">
    <w:name w:val="图表脚注说明"/>
    <w:basedOn w:val="1"/>
    <w:qFormat/>
    <w:uiPriority w:val="0"/>
    <w:pPr>
      <w:numPr>
        <w:ilvl w:val="0"/>
        <w:numId w:val="15"/>
      </w:numPr>
    </w:pPr>
    <w:rPr>
      <w:rFonts w:ascii="宋体"/>
      <w:sz w:val="18"/>
      <w:szCs w:val="18"/>
    </w:rPr>
  </w:style>
  <w:style w:type="paragraph" w:customStyle="1" w:styleId="119">
    <w:name w:val="图的脚注"/>
    <w:next w:val="22"/>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0">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1">
    <w:name w:val="五级无"/>
    <w:basedOn w:val="53"/>
    <w:qFormat/>
    <w:uiPriority w:val="0"/>
    <w:pPr>
      <w:spacing w:beforeLines="0" w:afterLines="0"/>
    </w:pPr>
    <w:rPr>
      <w:rFonts w:ascii="宋体" w:eastAsia="宋体"/>
    </w:rPr>
  </w:style>
  <w:style w:type="paragraph" w:customStyle="1" w:styleId="122">
    <w:name w:val="一级无"/>
    <w:basedOn w:val="39"/>
    <w:qFormat/>
    <w:uiPriority w:val="0"/>
    <w:pPr>
      <w:spacing w:beforeLines="0" w:afterLines="0"/>
    </w:pPr>
    <w:rPr>
      <w:rFonts w:ascii="宋体" w:eastAsia="宋体"/>
    </w:rPr>
  </w:style>
  <w:style w:type="paragraph" w:customStyle="1" w:styleId="123">
    <w:name w:val="正文表标题"/>
    <w:next w:val="22"/>
    <w:qFormat/>
    <w:uiPriority w:val="0"/>
    <w:pPr>
      <w:numPr>
        <w:ilvl w:val="0"/>
        <w:numId w:val="16"/>
      </w:numPr>
      <w:spacing w:beforeLines="50" w:afterLines="50"/>
      <w:jc w:val="center"/>
    </w:pPr>
    <w:rPr>
      <w:rFonts w:ascii="黑体" w:hAnsi="Times New Roman" w:eastAsia="黑体" w:cs="Times New Roman"/>
      <w:sz w:val="21"/>
      <w:lang w:val="en-US" w:eastAsia="zh-CN" w:bidi="ar-SA"/>
    </w:rPr>
  </w:style>
  <w:style w:type="paragraph" w:customStyle="1" w:styleId="124">
    <w:name w:val="正文公式编号制表符"/>
    <w:basedOn w:val="22"/>
    <w:next w:val="22"/>
    <w:qFormat/>
    <w:uiPriority w:val="0"/>
    <w:pPr>
      <w:ind w:firstLine="0" w:firstLineChars="0"/>
    </w:pPr>
  </w:style>
  <w:style w:type="paragraph" w:customStyle="1" w:styleId="125">
    <w:name w:val="正文图标题"/>
    <w:next w:val="22"/>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6">
    <w:name w:val="终结线"/>
    <w:basedOn w:val="1"/>
    <w:qFormat/>
    <w:uiPriority w:val="0"/>
    <w:pPr>
      <w:framePr w:hSpace="181" w:vSpace="181" w:wrap="around" w:vAnchor="text" w:hAnchor="margin" w:xAlign="center" w:y="285"/>
    </w:pPr>
  </w:style>
  <w:style w:type="paragraph" w:customStyle="1" w:styleId="127">
    <w:name w:val="其他发布日期"/>
    <w:qFormat/>
    <w:uiPriority w:val="0"/>
    <w:pPr>
      <w:framePr w:w="3997" w:h="471" w:hRule="exact" w:vSpace="181" w:wrap="around" w:vAnchor="page" w:hAnchor="page" w:x="1419" w:y="14097" w:anchorLock="1"/>
    </w:pPr>
    <w:rPr>
      <w:rFonts w:ascii="Times New Roman" w:hAnsi="Times New Roman" w:eastAsia="黑体" w:cs="Times New Roman"/>
      <w:sz w:val="28"/>
      <w:lang w:val="en-US" w:eastAsia="zh-CN" w:bidi="ar-SA"/>
    </w:rPr>
  </w:style>
  <w:style w:type="paragraph" w:customStyle="1" w:styleId="128">
    <w:name w:val="其他实施日期"/>
    <w:basedOn w:val="111"/>
    <w:qFormat/>
    <w:uiPriority w:val="0"/>
  </w:style>
  <w:style w:type="paragraph" w:customStyle="1" w:styleId="129">
    <w:name w:val="封面标准名称2"/>
    <w:basedOn w:val="75"/>
    <w:qFormat/>
    <w:uiPriority w:val="0"/>
    <w:pPr>
      <w:framePr w:y="4469"/>
      <w:spacing w:beforeLines="630"/>
    </w:pPr>
  </w:style>
  <w:style w:type="paragraph" w:customStyle="1" w:styleId="130">
    <w:name w:val="封面标准英文名称2"/>
    <w:basedOn w:val="76"/>
    <w:qFormat/>
    <w:uiPriority w:val="0"/>
    <w:pPr>
      <w:framePr w:y="4469"/>
    </w:pPr>
  </w:style>
  <w:style w:type="paragraph" w:customStyle="1" w:styleId="131">
    <w:name w:val="封面一致性程度标识2"/>
    <w:basedOn w:val="77"/>
    <w:qFormat/>
    <w:uiPriority w:val="0"/>
    <w:pPr>
      <w:framePr w:y="4469"/>
    </w:pPr>
  </w:style>
  <w:style w:type="paragraph" w:customStyle="1" w:styleId="132">
    <w:name w:val="封面标准文稿类别2"/>
    <w:basedOn w:val="78"/>
    <w:qFormat/>
    <w:uiPriority w:val="0"/>
    <w:pPr>
      <w:framePr w:y="4469"/>
    </w:pPr>
  </w:style>
  <w:style w:type="paragraph" w:customStyle="1" w:styleId="133">
    <w:name w:val="封面标准文稿编辑信息2"/>
    <w:basedOn w:val="79"/>
    <w:qFormat/>
    <w:uiPriority w:val="0"/>
    <w:pPr>
      <w:framePr w:y="4469"/>
    </w:pPr>
  </w:style>
  <w:style w:type="paragraph" w:customStyle="1" w:styleId="134">
    <w:name w:val="标准名称"/>
    <w:basedOn w:val="47"/>
    <w:link w:val="137"/>
    <w:qFormat/>
    <w:uiPriority w:val="0"/>
  </w:style>
  <w:style w:type="character" w:styleId="135">
    <w:name w:val="Placeholder Text"/>
    <w:basedOn w:val="30"/>
    <w:semiHidden/>
    <w:qFormat/>
    <w:uiPriority w:val="99"/>
    <w:rPr>
      <w:color w:val="808080"/>
    </w:rPr>
  </w:style>
  <w:style w:type="character" w:customStyle="1" w:styleId="136">
    <w:name w:val="目次、标准名称标题 Char"/>
    <w:basedOn w:val="30"/>
    <w:link w:val="47"/>
    <w:qFormat/>
    <w:uiPriority w:val="0"/>
    <w:rPr>
      <w:rFonts w:ascii="黑体" w:eastAsia="黑体"/>
      <w:sz w:val="32"/>
      <w:shd w:val="clear" w:color="FFFFFF" w:fill="FFFFFF"/>
    </w:rPr>
  </w:style>
  <w:style w:type="character" w:customStyle="1" w:styleId="137">
    <w:name w:val="标准名称 Char"/>
    <w:basedOn w:val="136"/>
    <w:link w:val="134"/>
    <w:qFormat/>
    <w:uiPriority w:val="0"/>
    <w:rPr>
      <w:rFonts w:ascii="黑体" w:eastAsia="黑体"/>
      <w:sz w:val="32"/>
      <w:shd w:val="clear" w:color="FFFFFF" w:fill="FFFFFF"/>
    </w:rPr>
  </w:style>
  <w:style w:type="character" w:customStyle="1" w:styleId="138">
    <w:name w:val="批注框文本 Char"/>
    <w:basedOn w:val="30"/>
    <w:link w:val="15"/>
    <w:qFormat/>
    <w:uiPriority w:val="0"/>
    <w:rPr>
      <w:kern w:val="2"/>
      <w:sz w:val="18"/>
      <w:szCs w:val="18"/>
    </w:rPr>
  </w:style>
  <w:style w:type="paragraph" w:customStyle="1" w:styleId="13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docEvents>
    <wne:eventDocOpen/>
  </wne:docEvents>
  <wne:mcds>
    <wne:mcd wne:macroName="TEMPLATEPROJECT.MDLTDS.CHGNAME" wne:name="TemplateProject.MdlTds.ChgName" wne:bEncrypt="00" wne:cmg="56"/>
    <wne:mcd wne:macroName="TEMPLATEPROJECT.MDLTDS.DBTAG" wne:name="TemplateProject.MdlTds.DBTag" wne:bEncrypt="00" wne:cmg="56"/>
    <wne:mcd wne:macroName="TEMPLATEPROJECT.MDLTDS.DELBEOFOREMARKALL" wne:name="TemplateProject.MdlTds.DelBeoforeMarkAll" wne:bEncrypt="00" wne:cmg="56"/>
    <wne:mcd wne:macroName="TEMPLATEPROJECT.MDLTDS.DELETEDUPLICATEMENU" wne:name="TemplateProject.MdlTds.DeleteDuplicateMenu" wne:bEncrypt="00" wne:cmg="56"/>
    <wne:mcd wne:macroName="TEMPLATEPROJECT.MDLTDS.DELETEMENUBAR" wne:name="TemplateProject.MdlTds.DeleteMenuBar" wne:bEncrypt="00" wne:cmg="56"/>
    <wne:mcd wne:macroName="TEMPLATEPROJECT.MDLTDS.DELINDEXITEMS" wne:name="TemplateProject.MdlTds.DelIndexItems" wne:bEncrypt="00" wne:cmg="56"/>
    <wne:mcd wne:macroName="TEMPLATEPROJECT.MDLTDS.DESIGNINDEXTCS" wne:name="TemplateProject.MdlTds.DesignIndexTCS" wne:bEncrypt="00" wne:cmg="56"/>
    <wne:mcd wne:macroName="TEMPLATEPROJECT.MDLTDS.FIELDNULL" wne:name="TemplateProject.MdlTds.FieldNull" wne:bEncrypt="00" wne:cmg="56"/>
    <wne:mcd wne:macroName="TEMPLATEPROJECT.MDLTDS.FILESAVE" wne:name="TemplateProject.MdlTds.FileSave" wne:bEncrypt="00" wne:cmg="56"/>
    <wne:mcd wne:macroName="TEMPLATEPROJECT.MDLTDS.GBTAG" wne:name="TemplateProject.MdlTds.GBTag" wne:bEncrypt="00" wne:cmg="56"/>
    <wne:mcd wne:macroName="TEMPLATEPROJECT.MDLTDS.GETFMTYPE" wne:name="TemplateProject.MdlTds.GetFMType" wne:bEncrypt="00" wne:cmg="56"/>
    <wne:mcd wne:macroName="TEMPLATEPROJECT.MDLTDS.GETINDEXTITLEALL" wne:name="TemplateProject.MdlTds.GetIndexTitleAll" wne:bEncrypt="00" wne:cmg="56"/>
    <wne:mcd wne:macroName="TEMPLATEPROJECT.MDLTDS.GETINDEXTITLEBASEDONUNTITLE" wne:name="TemplateProject.MdlTds.GetIndexTitleBasedonUnTitle" wne:bEncrypt="00" wne:cmg="56"/>
    <wne:mcd wne:macroName="TEMPLATEPROJECT.MDLTDS.GETINDEXTITLESIGNLE" wne:name="TemplateProject.MdlTds.GetIndexTitleSignle" wne:bEncrypt="00" wne:cmg="56"/>
    <wne:mcd wne:macroName="TEMPLATEPROJECT.MDLTDS.GETSECNUM" wne:name="TemplateProject.MdlTds.GetSecNum" wne:bEncrypt="00" wne:cmg="56"/>
    <wne:mcd wne:macroName="TEMPLATEPROJECT.MDLTDS.HBTAG" wne:name="TemplateProject.MdlTds.HBTag" wne:bEncrypt="00" wne:cmg="56"/>
    <wne:mcd wne:macroName="TEMPLATEPROJECT.MDLTDS.INIDOCUMENT" wne:name="TemplateProject.MdlTds.IniDocument" wne:bEncrypt="00" wne:cmg="56"/>
    <wne:mcd wne:macroName="TEMPLATEPROJECT.MDLTDS.INSERTCHARACTER" wne:name="TemplateProject.MdlTds.InsertCharacter" wne:bEncrypt="00" wne:cmg="56"/>
    <wne:mcd wne:macroName="TEMPLATEPROJECT.MDLTDS.INSERTEQUATION" wne:name="TemplateProject.MdlTds.InsertEquation" wne:bEncrypt="00" wne:cmg="56"/>
    <wne:mcd wne:macroName="TEMPLATEPROJECT.MDLTDS.INSERTEQUATIONNUM" wne:name="TemplateProject.MdlTds.InsertEquationNum" wne:bEncrypt="00" wne:cmg="56"/>
    <wne:mcd wne:macroName="TEMPLATEPROJECT.MDLTDS.INSERTEXAMPLE" wne:name="TemplateProject.MdlTds.InsertExample" wne:bEncrypt="00" wne:cmg="56"/>
    <wne:mcd wne:macroName="TEMPLATEPROJECT.MDLTDS.INSERTEXAMPLECONTENT" wne:name="TemplateProject.MdlTds.InsertExampleContent" wne:bEncrypt="00" wne:cmg="56"/>
    <wne:mcd wne:macroName="TEMPLATEPROJECT.MDLTDS.INSERTFIFTHTTITLE" wne:name="TemplateProject.MdlTds.InsertFifthTTitle" wne:bEncrypt="00" wne:cmg="56"/>
    <wne:mcd wne:macroName="TEMPLATEPROJECT.MDLTDS.INSERTFIFTITLE" wne:name="TemplateProject.MdlTds.InsertFifTitle" wne:bEncrypt="00" wne:cmg="56"/>
    <wne:mcd wne:macroName="TEMPLATEPROJECT.MDLTDS.INSERTFIGTBLFIRFOOTER" wne:name="TemplateProject.MdlTds.InsertFigTblFirFooter" wne:bEncrypt="00" wne:cmg="56"/>
    <wne:mcd wne:macroName="TEMPLATEPROJECT.MDLTDS.INSERTFIGTBLFIRNOTE" wne:name="TemplateProject.MdlTds.InsertFigTblFirNote" wne:bEncrypt="00" wne:cmg="56"/>
    <wne:mcd wne:macroName="TEMPLATEPROJECT.MDLTDS.INSERTFIGTBLFOOTER" wne:name="TemplateProject.MdlTds.InsertFigTblFooter" wne:bEncrypt="00" wne:cmg="56"/>
    <wne:mcd wne:macroName="TEMPLATEPROJECT.MDLTDS.INSERTFIGTBLMULNOTE" wne:name="TemplateProject.MdlTds.InsertFigTblMulNote" wne:bEncrypt="00" wne:cmg="56"/>
    <wne:mcd wne:macroName="TEMPLATEPROJECT.MDLTDS.INSERTFIGTBLNOTE" wne:name="TemplateProject.MdlTds.InsertFigTblNote" wne:bEncrypt="00" wne:cmg="56"/>
    <wne:mcd wne:macroName="TEMPLATEPROJECT.MDLTDS.INSERTFIGTITLE" wne:name="TemplateProject.MdlTds.InsertFigTitle" wne:bEncrypt="00" wne:cmg="56"/>
    <wne:mcd wne:macroName="TEMPLATEPROJECT.MDLTDS.INSERTFIREXAMPLE" wne:name="TemplateProject.MdlTds.InsertFirExample" wne:bEncrypt="00" wne:cmg="56"/>
    <wne:mcd wne:macroName="TEMPLATEPROJECT.MDLTDS.INSERTFIRSTTTITLE" wne:name="TemplateProject.MdlTds.InsertFirstTTitle" wne:bEncrypt="00" wne:cmg="56"/>
    <wne:mcd wne:macroName="TEMPLATEPROJECT.MDLTDS.INSERTFIRTITLE" wne:name="TemplateProject.MdlTds.InsertFirTitle" wne:bEncrypt="00" wne:cmg="56"/>
    <wne:mcd wne:macroName="TEMPLATEPROJECT.MDLTDS.INSERTFLBS" wne:name="TemplateProject.MdlTds.InsertFlBs" wne:bEncrypt="00" wne:cmg="56"/>
    <wne:mcd wne:macroName="TEMPLATEPROJECT.MDLTDS.INSERTFLBTITLE" wne:name="TemplateProject.MdlTds.InsertFlBTitle" wne:bEncrypt="00" wne:cmg="56"/>
    <wne:mcd wne:macroName="TEMPLATEPROJECT.MDLTDS.INSERTFLEQUATIONNUM" wne:name="TemplateProject.MdlTds.InsertFLEquationNum" wne:bEncrypt="00" wne:cmg="56"/>
    <wne:mcd wne:macroName="TEMPLATEPROJECT.MDLTDS.INSERTFLPTITLE" wne:name="TemplateProject.MdlTds.InsertFlPTitle" wne:bEncrypt="00" wne:cmg="56"/>
    <wne:mcd wne:macroName="TEMPLATEPROJECT.MDLTDS.INSERTFLTTITLE1" wne:name="TemplateProject.MdlTds.InsertFlTTitle1" wne:bEncrypt="00" wne:cmg="56"/>
    <wne:mcd wne:macroName="TEMPLATEPROJECT.MDLTDS.INSERTFLTTITLE2" wne:name="TemplateProject.MdlTds.InsertFlTTitle2" wne:bEncrypt="00" wne:cmg="56"/>
    <wne:mcd wne:macroName="TEMPLATEPROJECT.MDLTDS.INSERTFLTTITLE3" wne:name="TemplateProject.MdlTds.InsertFlTTitle3" wne:bEncrypt="00" wne:cmg="56"/>
    <wne:mcd wne:macroName="TEMPLATEPROJECT.MDLTDS.INSERTFLTTITLE4" wne:name="TemplateProject.MdlTds.InsertFlTTitle4" wne:bEncrypt="00" wne:cmg="56"/>
    <wne:mcd wne:macroName="TEMPLATEPROJECT.MDLTDS.INSERTFLTTITLE5" wne:name="TemplateProject.MdlTds.InsertFlTTitle5" wne:bEncrypt="00" wne:cmg="56"/>
    <wne:mcd wne:macroName="TEMPLATEPROJECT.MDLTDS.INSERTFLZTITLE" wne:name="TemplateProject.MdlTds.InsertFlZTitle" wne:bEncrypt="00" wne:cmg="56"/>
    <wne:mcd wne:macroName="TEMPLATEPROJECT.MDLTDS.INSERTFM" wne:name="TemplateProject.MdlTds.InsertFM" wne:bEncrypt="00" wne:cmg="56"/>
    <wne:mcd wne:macroName="TEMPLATEPROJECT.MDLTDS.INSERTFOOTER" wne:name="TemplateProject.MdlTds.InsertFooter" wne:bEncrypt="00" wne:cmg="56"/>
    <wne:mcd wne:macroName="TEMPLATEPROJECT.MDLTDS.INSERTFORTHTTITLE" wne:name="TemplateProject.MdlTds.InsertForthTTitle" wne:bEncrypt="00" wne:cmg="56"/>
    <wne:mcd wne:macroName="TEMPLATEPROJECT.MDLTDS.INSERTFORTITLE" wne:name="TemplateProject.MdlTds.InsertForTitle" wne:bEncrypt="00" wne:cmg="56"/>
    <wne:mcd wne:macroName="TEMPLATEPROJECT.MDLTDS.INSERTGT" wne:name="TemplateProject.MdlTds.InsertGT" wne:bEncrypt="00" wne:cmg="56"/>
    <wne:mcd wne:macroName="TEMPLATEPROJECT.MDLTDS.INSERTINDEXPAGE" wne:name="TemplateProject.MdlTds.InsertIndexPage" wne:bEncrypt="00" wne:cmg="56"/>
    <wne:mcd wne:macroName="TEMPLATEPROJECT.MDLTDS.INSERTLX1" wne:name="TemplateProject.MdlTds.InsertLx1" wne:bEncrypt="00" wne:cmg="56"/>
    <wne:mcd wne:macroName="TEMPLATEPROJECT.MDLTDS.INSERTLX2" wne:name="TemplateProject.MdlTds.InsertLx2" wne:bEncrypt="00" wne:cmg="56"/>
    <wne:mcd wne:macroName="TEMPLATEPROJECT.MDLTDS.INSERTLX3" wne:name="TemplateProject.MdlTds.InsertLx3" wne:bEncrypt="00" wne:cmg="56"/>
    <wne:mcd wne:macroName="TEMPLATEPROJECT.MDLTDS.INSERTLX4" wne:name="TemplateProject.MdlTds.InsertLx4" wne:bEncrypt="00" wne:cmg="56"/>
    <wne:mcd wne:macroName="TEMPLATEPROJECT.MDLTDS.INSERTLX41" wne:name="TemplateProject.MdlTds.InsertLx41" wne:bEncrypt="00" wne:cmg="56"/>
    <wne:mcd wne:macroName="TEMPLATEPROJECT.MDLTDS.INSERTLX5" wne:name="TemplateProject.MdlTds.InsertLx5" wne:bEncrypt="00" wne:cmg="56"/>
    <wne:mcd wne:macroName="TEMPLATEPROJECT.MDLTDS.INSERTLX6" wne:name="TemplateProject.MdlTds.InsertLx6" wne:bEncrypt="00" wne:cmg="56"/>
    <wne:mcd wne:macroName="TEMPLATEPROJECT.MDLTDS.INSERTMENU" wne:name="TemplateProject.MdlTds.InsertMenu" wne:bEncrypt="00" wne:cmg="56"/>
    <wne:mcd wne:macroName="TEMPLATEPROJECT.MDLTDS.INSERTMENUBAR" wne:name="TemplateProject.MdlTds.InsertMenuBar" wne:bEncrypt="00" wne:cmg="56"/>
    <wne:mcd wne:macroName="TEMPLATEPROJECT.MDLTDS.INSERTMULEXAMPLE" wne:name="TemplateProject.MdlTds.InsertMulExample" wne:bEncrypt="00" wne:cmg="56"/>
    <wne:mcd wne:macroName="TEMPLATEPROJECT.MDLTDS.INSERTPARAGRAPH" wne:name="TemplateProject.MdlTds.InsertParagraph" wne:bEncrypt="00" wne:cmg="56"/>
    <wne:mcd wne:macroName="TEMPLATEPROJECT.MDLTDS.INSERTPJ" wne:name="TemplateProject.MdlTds.InsertPJ" wne:bEncrypt="00" wne:cmg="56"/>
    <wne:mcd wne:macroName="TEMPLATEPROJECT.MDLTDS.INSERTREFERENCES" wne:name="TemplateProject.MdlTds.InsertReferences" wne:bEncrypt="00" wne:cmg="56"/>
    <wne:mcd wne:macroName="TEMPLATEPROJECT.MDLTDS.INSERTSECONDTTITLE" wne:name="TemplateProject.MdlTds.InsertSecondTTitle" wne:bEncrypt="00" wne:cmg="56"/>
    <wne:mcd wne:macroName="TEMPLATEPROJECT.MDLTDS.INSERTSECTITLE" wne:name="TemplateProject.MdlTds.InsertSecTitle" wne:bEncrypt="00" wne:cmg="56"/>
    <wne:mcd wne:macroName="TEMPLATEPROJECT.MDLTDS.INSERTSY1" wne:name="TemplateProject.MdlTds.InsertSy1" wne:bEncrypt="00" wne:cmg="56"/>
    <wne:mcd wne:macroName="TEMPLATEPROJECT.MDLTDS.INSERTSY2" wne:name="TemplateProject.MdlTds.InsertSy2" wne:bEncrypt="00" wne:cmg="56"/>
    <wne:mcd wne:macroName="TEMPLATEPROJECT.MDLTDS.INSERTSY3" wne:name="TemplateProject.MdlTds.InsertSy3" wne:bEncrypt="00" wne:cmg="56"/>
    <wne:mcd wne:macroName="TEMPLATEPROJECT.MDLTDS.INSERTSY4" wne:name="TemplateProject.MdlTds.InsertSy4" wne:bEncrypt="00" wne:cmg="56"/>
    <wne:mcd wne:macroName="TEMPLATEPROJECT.MDLTDS.INSERTSY5" wne:name="TemplateProject.MdlTds.InsertSy5" wne:bEncrypt="00" wne:cmg="56"/>
    <wne:mcd wne:macroName="TEMPLATEPROJECT.MDLTDS.INSERTSY6" wne:name="TemplateProject.MdlTds.InsertSy6" wne:bEncrypt="00" wne:cmg="56"/>
    <wne:mcd wne:macroName="TEMPLATEPROJECT.MDLTDS.INSERTSY7" wne:name="TemplateProject.MdlTds.InsertSy7" wne:bEncrypt="00" wne:cmg="56"/>
    <wne:mcd wne:macroName="TEMPLATEPROJECT.MDLTDS.INSERTSY8" wne:name="TemplateProject.MdlTds.InsertSy8" wne:bEncrypt="00" wne:cmg="56"/>
    <wne:mcd wne:macroName="TEMPLATEPROJECT.MDLTDS.INSERTSY9" wne:name="TemplateProject.MdlTds.InsertSy9" wne:bEncrypt="00" wne:cmg="56"/>
    <wne:mcd wne:macroName="TEMPLATEPROJECT.MDLTDS.INSERTTAB" wne:name="TemplateProject.MdlTds.InsertTab" wne:bEncrypt="00" wne:cmg="56"/>
    <wne:mcd wne:macroName="TEMPLATEPROJECT.MDLTDS.INSERTTABLE" wne:name="TemplateProject.MdlTds.InsertTable" wne:bEncrypt="00" wne:cmg="56"/>
    <wne:mcd wne:macroName="TEMPLATEPROJECT.MDLTDS.INSERTTBJZ" wne:name="TemplateProject.MdlTds.InsertTBJz" wne:bEncrypt="00" wne:cmg="56"/>
    <wne:mcd wne:macroName="TEMPLATEPROJECT.MDLTDS.INSERTTBLTITLE" wne:name="TemplateProject.MdlTds.InsertTblTitle" wne:bEncrypt="00" wne:cmg="56"/>
    <wne:mcd wne:macroName="TEMPLATEPROJECT.MDLTDS.INSERTTCSINDEX" wne:name="TemplateProject.MdlTds.InsertTCSIndex" wne:bEncrypt="00" wne:cmg="56"/>
    <wne:mcd wne:macroName="TEMPLATEPROJECT.MDLTDS.INSERTTEXTFIRNOTE" wne:name="TemplateProject.MdlTds.InsertTextFirNote" wne:bEncrypt="00" wne:cmg="56"/>
    <wne:mcd wne:macroName="TEMPLATEPROJECT.MDLTDS.INSERTTEXTMULNOTE" wne:name="TemplateProject.MdlTds.InsertTextMulNote" wne:bEncrypt="00" wne:cmg="56"/>
    <wne:mcd wne:macroName="TEMPLATEPROJECT.MDLTDS.INSERTTEXTNOTE" wne:name="TemplateProject.MdlTds.InsertTextNote" wne:bEncrypt="00" wne:cmg="56"/>
    <wne:mcd wne:macroName="TEMPLATEPROJECT.MDLTDS.INSERTTHIRDTTITLE" wne:name="TemplateProject.MdlTds.InsertThirdTTitle" wne:bEncrypt="00" wne:cmg="56"/>
    <wne:mcd wne:macroName="TEMPLATEPROJECT.MDLTDS.INSERTTHITITLE" wne:name="TemplateProject.MdlTds.InsertThiTitle" wne:bEncrypt="00" wne:cmg="56"/>
    <wne:mcd wne:macroName="TEMPLATEPROJECT.MDLTDS.INSERTTJ" wne:name="TemplateProject.MdlTds.InsertTJ" wne:bEncrypt="00" wne:cmg="56"/>
    <wne:mcd wne:macroName="TEMPLATEPROJECT.MDLTDS.INSERTTWJZ" wne:name="TemplateProject.MdlTds.InsertTWJz" wne:bEncrypt="00" wne:cmg="56"/>
    <wne:mcd wne:macroName="TEMPLATEPROJECT.MDLTDS.INSERTZTITLE" wne:name="TemplateProject.MdlTds.InsertZTitle" wne:bEncrypt="00" wne:cmg="56"/>
    <wne:mcd wne:macroName="TEMPLATEPROJECT.MDLTDS.MARKINDEXITEMS" wne:name="TemplateProject.MdlTds.MarkIndexItems" wne:bEncrypt="00" wne:cmg="56"/>
    <wne:mcd wne:macroName="TEMPLATEPROJECT.MDLTDS.PRCCURFLD" wne:name="TemplateProject.MdlTds.prcCurFld" wne:bEncrypt="00" wne:cmg="56"/>
    <wne:mcd wne:macroName="TEMPLATEPROJECT.MDLTDS.PRCORIFLD" wne:name="TemplateProject.MdlTds.prcOriFld" wne:bEncrypt="00" wne:cmg="56"/>
    <wne:mcd wne:macroName="TEMPLATEPROJECT.MDLTDS.PRCTTCS" wne:name="TemplateProject.MdlTds.PrctTCS" wne:bEncrypt="00" wne:cmg="56"/>
    <wne:mcd wne:macroName="TEMPLATEPROJECT.MDLTDS.PRINTPREVIEWTCS" wne:name="TemplateProject.MdlTds.PrintPreviewTCS" wne:bEncrypt="00" wne:cmg="56"/>
    <wne:mcd wne:macroName="TEMPLATEPROJECT.MDLTDS.PROCESSEDIT" wne:name="TemplateProject.MdlTds.ProcessEdit" wne:bEncrypt="00" wne:cmg="56"/>
    <wne:mcd wne:macroName="TEMPLATEPROJECT.MDLTDS.PROCESSFONTPAGE" wne:name="TemplateProject.MdlTds.ProcessFontPage" wne:bEncrypt="00" wne:cmg="56"/>
    <wne:mcd wne:macroName="TEMPLATEPROJECT.MDLTDS.PROCESSINDEXFORMAT" wne:name="TemplateProject.MdlTds.ProcessIndexFormat" wne:bEncrypt="00" wne:cmg="56"/>
    <wne:mcd wne:macroName="TEMPLATEPROJECT.MDLTDS.PROCESSONEPAGEHEADER" wne:name="TemplateProject.MdlTds.ProcessOnePageHeader" wne:bEncrypt="00" wne:cmg="56"/>
    <wne:mcd wne:macroName="TEMPLATEPROJECT.MDLTDS.PROCESSPRINT" wne:name="TemplateProject.MdlTds.ProcessPrint" wne:bEncrypt="00" wne:cmg="56"/>
    <wne:mcd wne:macroName="TEMPLATEPROJECT.MDLTDS.PROCESSTWOPAGEHEADER" wne:name="TemplateProject.MdlTds.ProcessTwoPageHeader" wne:bEncrypt="00" wne:cmg="56"/>
    <wne:mcd wne:macroName="TEMPLATEPROJECT.MDLTDS.PROCGBHB" wne:name="TemplateProject.MdlTds.procGBHB" wne:bEncrypt="00" wne:cmg="56"/>
    <wne:mcd wne:macroName="TEMPLATEPROJECT.MDLTDS.PROGENTRY" wne:name="TemplateProject.MdlTds.ProgEntry" wne:bEncrypt="00" wne:cmg="56"/>
    <wne:mcd wne:macroName="TEMPLATEPROJECT.MDLTDS.QBTAG" wne:name="TemplateProject.MdlTds.QBTag" wne:bEncrypt="00" wne:cmg="56"/>
    <wne:mcd wne:macroName="TEMPLATEPROJECT.MDLTDS.RESORTINDEXBYASCEND" wne:name="TemplateProject.MdlTds.ReSortIndexByAscend" wne:bEncrypt="00" wne:cmg="56"/>
    <wne:mcd wne:macroName="TEMPLATEPROJECT.MDLTDS.SAVEASDOC" wne:name="TemplateProject.MdlTds.SaveAsDoc" wne:bEncrypt="00" wne:cmg="56"/>
    <wne:mcd wne:macroName="TEMPLATEPROJECT.MDLTDS.SHOWFRMDELINDEX" wne:name="TemplateProject.MdlTds.ShowfrmDelIndex" wne:bEncrypt="00" wne:cmg="56"/>
    <wne:mcd wne:macroName="TEMPLATEPROJECT.MDLTDS.SHOWFRMMARKINDEX" wne:name="TemplateProject.MdlTds.ShowfrmMarkIndex" wne:bEncrypt="00" wne:cmg="56"/>
    <wne:mcd wne:macroName="TEMPLATEPROJECT.MDLTDS.SHOWHELP1" wne:name="TemplateProject.MdlTds.ShowHelp1" wne:bEncrypt="00" wne:cmg="56"/>
    <wne:mcd wne:macroName="TEMPLATEPROJECT.MDLTDS.SHOWHELP10" wne:name="TemplateProject.MdlTds.ShowHelp10" wne:bEncrypt="00" wne:cmg="56"/>
    <wne:mcd wne:macroName="TEMPLATEPROJECT.MDLTDS.SHOWHELP11" wne:name="TemplateProject.MdlTds.ShowHelp11" wne:bEncrypt="00" wne:cmg="56"/>
    <wne:mcd wne:macroName="TEMPLATEPROJECT.MDLTDS.SHOWHELP12" wne:name="TemplateProject.MdlTds.ShowHelp12" wne:bEncrypt="00" wne:cmg="56"/>
    <wne:mcd wne:macroName="TEMPLATEPROJECT.MDLTDS.SHOWHELP13" wne:name="TemplateProject.MdlTds.ShowHelp13" wne:bEncrypt="00" wne:cmg="56"/>
    <wne:mcd wne:macroName="TEMPLATEPROJECT.MDLTDS.SHOWHELP14" wne:name="TemplateProject.MdlTds.ShowHelp14" wne:bEncrypt="00" wne:cmg="56"/>
    <wne:mcd wne:macroName="TEMPLATEPROJECT.MDLTDS.SHOWHELP15" wne:name="TemplateProject.MdlTds.ShowHelp15" wne:bEncrypt="00" wne:cmg="56"/>
    <wne:mcd wne:macroName="TEMPLATEPROJECT.MDLTDS.SHOWHELP16" wne:name="TemplateProject.MdlTds.ShowHelp16" wne:bEncrypt="00" wne:cmg="56"/>
    <wne:mcd wne:macroName="TEMPLATEPROJECT.MDLTDS.SHOWHELP17" wne:name="TemplateProject.MdlTds.ShowHelp17" wne:bEncrypt="00" wne:cmg="56"/>
    <wne:mcd wne:macroName="TEMPLATEPROJECT.MDLTDS.SHOWHELP18" wne:name="TemplateProject.MdlTds.ShowHelp18" wne:bEncrypt="00" wne:cmg="56"/>
    <wne:mcd wne:macroName="TEMPLATEPROJECT.MDLTDS.SHOWHELP2" wne:name="TemplateProject.MdlTds.ShowHelp2" wne:bEncrypt="00" wne:cmg="56"/>
    <wne:mcd wne:macroName="TEMPLATEPROJECT.MDLTDS.SHOWHELP3" wne:name="TemplateProject.MdlTds.ShowHelp3" wne:bEncrypt="00" wne:cmg="56"/>
    <wne:mcd wne:macroName="TEMPLATEPROJECT.MDLTDS.SHOWHELP4" wne:name="TemplateProject.MdlTds.ShowHelp4" wne:bEncrypt="00" wne:cmg="56"/>
    <wne:mcd wne:macroName="TEMPLATEPROJECT.MDLTDS.SHOWHELP5" wne:name="TemplateProject.MdlTds.ShowHelp5" wne:bEncrypt="00" wne:cmg="56"/>
    <wne:mcd wne:macroName="TEMPLATEPROJECT.MDLTDS.SHOWHELP6" wne:name="TemplateProject.MdlTds.ShowHelp6" wne:bEncrypt="00" wne:cmg="56"/>
    <wne:mcd wne:macroName="TEMPLATEPROJECT.MDLTDS.SHOWHELP7" wne:name="TemplateProject.MdlTds.ShowHelp7" wne:bEncrypt="00" wne:cmg="56"/>
    <wne:mcd wne:macroName="TEMPLATEPROJECT.MDLTDS.SHOWHELP8" wne:name="TemplateProject.MdlTds.ShowHelp8" wne:bEncrypt="00" wne:cmg="56"/>
    <wne:mcd wne:macroName="TEMPLATEPROJECT.MDLTDS.SHOWHELP9" wne:name="TemplateProject.MdlTds.ShowHelp9" wne:bEncrypt="00" wne:cmg="56"/>
    <wne:mcd wne:macroName="TEMPLATEPROJECT.MDLTDS.TBTAG" wne:name="TemplateProject.MdlTds.TBTag" wne:bEncrypt="00" wne:cmg="56"/>
    <wne:mcd wne:macroName="TEMPLATEPROJECT.MDLTDS.UNPRCTTCS" wne:name="TemplateProject.MdlTds.UnPrctTCS" wne:bEncrypt="00" wne:cmg="56"/>
    <wne:mcd wne:macroName="TEMPLATEPROJECT.MDLTDS.UPDATEEQUATIONNUMTCS" wne:name="TemplateProject.MdlTds.UpdateEquationNumTCS" wne:bEncrypt="00" wne:cmg="56"/>
    <wne:mcd wne:macroName="TEMPLATEPROJECT.MDLTDS.UPDATEFIELDTCS" wne:name="TemplateProject.MdlTds.UpdateFieldTCS" wne:bEncrypt="00" wne:cmg="56"/>
    <wne:mcd wne:macroName="TEMPLATEPROJECT.REGISTERCHECK.CHECKONLINE" wne:name="TemplateProject.RegisterCheck.CheckOnline" wne:bEncrypt="00" wne:cmg="56"/>
    <wne:mcd wne:macroName="TEMPLATEPROJECT.REGISTERCHECK.CHECKREGISTER" wne:name="TemplateProject.RegisterCheck.CheckRegister" wne:bEncrypt="00" wne:cmg="56"/>
    <wne:mcd wne:macroName="TEMPLATEPROJECT.REGISTERCHECK.NETWORKFUNCTION" wne:name="TemplateProject.RegisterCheck.NetworkFunction" wne:bEncrypt="00" wne:cmg="56"/>
    <wne:mcd wne:macroName="TEMPLATEPROJECT.SAVEFILEDIALOG.TSGETFILEFROMUSER" wne:name="TemplateProject.SaveFileDialog.tsGetFileFromUser" wne:bEncrypt="00" wne:cmg="56"/>
    <wne:mcd wne:macroName="TEMPLATEPROJECT.SAVEFILEDIALOG.TSGETFILEFROMUSERTEST" wne:name="TemplateProject.SaveFileDialog.tsGetFileFromUserTest" wne:bEncrypt="00" wne:cmg="56"/>
  </wne:mcds>
</wne:vbaSuppData>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microsoft.com/office/2006/relationships/keyMapCustomizations" Target="customizations.xml"/><Relationship Id="rId10" Type="http://schemas.microsoft.com/office/2006/relationships/vbaProject" Target="vbaProject.bin"/><Relationship Id="rId1" Type="http://schemas.openxmlformats.org/officeDocument/2006/relationships/styles" Target="styles.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11"/>
        <w:style w:val=""/>
        <w:category>
          <w:name w:val="常规"/>
          <w:gallery w:val="placeholder"/>
        </w:category>
        <w:types>
          <w:type w:val="bbPlcHdr"/>
        </w:types>
        <w:behaviors>
          <w:behavior w:val="content"/>
        </w:behaviors>
        <w:description w:val=""/>
        <w:guid w:val="{028989F2-0355-49D4-BDA6-4D56B5D374C0}"/>
      </w:docPartPr>
      <w:docPartBody>
        <w:p>
          <w:pPr>
            <w:pStyle w:val="7"/>
          </w:pPr>
          <w:r>
            <w:rPr>
              <w:rStyle w:val="4"/>
              <w:rFonts w:hint="eastAsia"/>
            </w:rPr>
            <w:t>标准名称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F113A"/>
    <w:rsid w:val="0002647A"/>
    <w:rsid w:val="0002653F"/>
    <w:rsid w:val="00080DE3"/>
    <w:rsid w:val="00087E40"/>
    <w:rsid w:val="000C73CF"/>
    <w:rsid w:val="001132F9"/>
    <w:rsid w:val="00114ABC"/>
    <w:rsid w:val="001410F7"/>
    <w:rsid w:val="001C16E0"/>
    <w:rsid w:val="002068C7"/>
    <w:rsid w:val="00243BD4"/>
    <w:rsid w:val="00323E80"/>
    <w:rsid w:val="003372E5"/>
    <w:rsid w:val="003750AF"/>
    <w:rsid w:val="00430F92"/>
    <w:rsid w:val="004F113A"/>
    <w:rsid w:val="004F1EC5"/>
    <w:rsid w:val="005154F4"/>
    <w:rsid w:val="00515A81"/>
    <w:rsid w:val="005335DD"/>
    <w:rsid w:val="00595E09"/>
    <w:rsid w:val="0064746A"/>
    <w:rsid w:val="00674FBA"/>
    <w:rsid w:val="006D02E4"/>
    <w:rsid w:val="007216E9"/>
    <w:rsid w:val="007C6ACB"/>
    <w:rsid w:val="007E2797"/>
    <w:rsid w:val="00800293"/>
    <w:rsid w:val="00820E7E"/>
    <w:rsid w:val="008E024D"/>
    <w:rsid w:val="008F0268"/>
    <w:rsid w:val="00902EF8"/>
    <w:rsid w:val="00982DAC"/>
    <w:rsid w:val="009B16B1"/>
    <w:rsid w:val="009D11A3"/>
    <w:rsid w:val="00A564FA"/>
    <w:rsid w:val="00A94E45"/>
    <w:rsid w:val="00AD6808"/>
    <w:rsid w:val="00B717AC"/>
    <w:rsid w:val="00BC67AA"/>
    <w:rsid w:val="00C875D2"/>
    <w:rsid w:val="00CB0B2B"/>
    <w:rsid w:val="00D4454B"/>
    <w:rsid w:val="00D65DD7"/>
    <w:rsid w:val="00DA4409"/>
    <w:rsid w:val="00E95A08"/>
    <w:rsid w:val="00EA15BD"/>
    <w:rsid w:val="00EA32AC"/>
    <w:rsid w:val="00F93653"/>
    <w:rsid w:val="00FF0B73"/>
    <w:rsid w:val="00FF0E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cs="Times New Roman" w:asciiTheme="minorHAnsi" w:hAnsiTheme="minorHAnsi" w:eastAsiaTheme="minorEastAsia"/>
      <w:kern w:val="2"/>
      <w:sz w:val="3276"/>
      <w:szCs w:val="3276"/>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11"/>
    <w:qFormat/>
    <w:uiPriority w:val="0"/>
    <w:pPr>
      <w:widowControl w:val="0"/>
      <w:jc w:val="both"/>
    </w:pPr>
    <w:rPr>
      <w:rFonts w:cs="Times New Roman" w:asciiTheme="minorHAnsi" w:hAnsiTheme="minorHAnsi" w:eastAsiaTheme="minorEastAsia"/>
      <w:kern w:val="2"/>
      <w:sz w:val="3276"/>
      <w:szCs w:val="3276"/>
      <w:lang w:val="en-US" w:eastAsia="zh-CN" w:bidi="ar-SA"/>
    </w:rPr>
  </w:style>
  <w:style w:type="paragraph" w:customStyle="1" w:styleId="6">
    <w:name w:val="1111"/>
    <w:qFormat/>
    <w:uiPriority w:val="0"/>
    <w:pPr>
      <w:keepNext/>
      <w:pageBreakBefore/>
      <w:shd w:val="clear" w:color="FFFFFF" w:fill="FFFFFF"/>
      <w:spacing w:before="640" w:after="560" w:line="460" w:lineRule="exact"/>
      <w:jc w:val="center"/>
      <w:outlineLvl w:val="0"/>
    </w:pPr>
    <w:rPr>
      <w:rFonts w:ascii="黑体" w:hAnsi="Times New Roman" w:eastAsia="黑体" w:cs="Times New Roman"/>
      <w:kern w:val="0"/>
      <w:sz w:val="32"/>
      <w:szCs w:val="20"/>
      <w:lang w:val="en-US" w:eastAsia="zh-CN" w:bidi="ar-SA"/>
    </w:rPr>
  </w:style>
  <w:style w:type="paragraph" w:customStyle="1" w:styleId="7">
    <w:name w:val="1112"/>
    <w:qFormat/>
    <w:uiPriority w:val="0"/>
    <w:pPr>
      <w:keepNext/>
      <w:pageBreakBefore/>
      <w:shd w:val="clear" w:color="FFFFFF" w:fill="FFFFFF"/>
      <w:spacing w:before="640" w:after="560" w:line="460" w:lineRule="exact"/>
      <w:jc w:val="center"/>
      <w:outlineLvl w:val="0"/>
    </w:pPr>
    <w:rPr>
      <w:rFonts w:ascii="黑体" w:hAnsi="Times New Roman" w:eastAsia="黑体" w:cs="Times New Roman"/>
      <w:kern w:val="0"/>
      <w:sz w:val="32"/>
      <w:szCs w:val="20"/>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绿色产品评价规范　普通照明用非定向自镇流LED灯（定稿）.tcs</Template>
  <Company>zle</Company>
  <Pages>7</Pages>
  <Words>2886</Words>
  <Characters>1914</Characters>
  <Lines>15</Lines>
  <Paragraphs>9</Paragraphs>
  <TotalTime>3</TotalTime>
  <ScaleCrop>false</ScaleCrop>
  <LinksUpToDate>false</LinksUpToDate>
  <CharactersWithSpaces>4791</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2017-08-15T04:06:00Z</dcterms:created>
  <dc:creator>CNIS</dc:creator>
  <cp:lastModifiedBy>辛勇</cp:lastModifiedBy>
  <dcterms:modified xsi:type="dcterms:W3CDTF">2020-08-20T06:20:23Z</dcterms:modified>
  <dc:title>标准名称</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